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C54" w:rsidRPr="00762C54" w:rsidRDefault="00762C54" w:rsidP="00762C54">
      <w:pPr>
        <w:pStyle w:val="Heading2"/>
        <w:spacing w:before="0"/>
        <w:jc w:val="center"/>
        <w:rPr>
          <w:rFonts w:ascii="Georgia" w:hAnsi="Georgia"/>
          <w:color w:val="auto"/>
          <w:sz w:val="24"/>
          <w:u w:val="single"/>
        </w:rPr>
      </w:pPr>
      <w:r>
        <w:rPr>
          <w:rFonts w:ascii="Georgia" w:hAnsi="Georgia"/>
          <w:color w:val="auto"/>
          <w:sz w:val="24"/>
          <w:u w:val="single"/>
        </w:rPr>
        <w:t>AC</w:t>
      </w:r>
      <w:bookmarkStart w:id="0" w:name="_GoBack"/>
      <w:bookmarkEnd w:id="0"/>
    </w:p>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xml:space="preserve">, it will be religious rehab which non-uniques disads but doesn’t solve crime. </w:t>
      </w:r>
      <w:r w:rsidRPr="00F85E31">
        <w:rPr>
          <w:rFonts w:eastAsia="Calibri" w:cs="Times New Roman"/>
          <w:b/>
          <w:u w:val="single"/>
        </w:rPr>
        <w:t>Lockard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Prisonssent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Euro-american imperialism’s combination of state and religious power to produce passive laboring subjects. The carceral state values narratives that confess sin, embrace salvational repentance, and advocate compliance with an ordained social order. Such narratives gain official sanction because, as Tanya Erzen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time in the 1970s or the role of the </w:t>
      </w:r>
      <w:r w:rsidRPr="00F85E31">
        <w:rPr>
          <w:rFonts w:eastAsia="Calibri" w:cs="Times New Roman"/>
          <w:color w:val="A6A6A6" w:themeColor="background1" w:themeShade="A6"/>
          <w:sz w:val="12"/>
        </w:rPr>
        <w:t>drug wars in fueling that growth. The entanglement of state and religion that Colson pursued resulted in a 2007 Eighth Circuit decision,</w:t>
      </w:r>
      <w:r w:rsidRPr="00B23263">
        <w:rPr>
          <w:rFonts w:eastAsia="Calibri" w:cs="Times New Roman"/>
          <w:color w:val="A6A6A6" w:themeColor="background1" w:themeShade="A6"/>
          <w:sz w:val="12"/>
        </w:rPr>
        <w:t>Americans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r w:rsidRPr="00B23263">
        <w:rPr>
          <w:rFonts w:eastAsia="Calibri" w:cs="Times New Roman"/>
          <w:color w:val="A6A6A6" w:themeColor="background1" w:themeShade="A6"/>
          <w:sz w:val="12"/>
        </w:rPr>
        <w:t>InnerChange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6D4B48" w:rsidRDefault="006D4B48" w:rsidP="00F85E31">
      <w:r w:rsidRPr="006C480E">
        <w:t>Funding through normal means. No legal violations link because affirming means amending the laws to make the aff world consistent with them.</w:t>
      </w:r>
      <w:r w:rsidR="00F85E31">
        <w:t xml:space="preserve"> </w:t>
      </w:r>
    </w:p>
    <w:p w:rsidR="006D4B48" w:rsidRDefault="006D4B48" w:rsidP="00EB604C"/>
    <w:p w:rsidR="00B8321C" w:rsidRDefault="00B8321C">
      <w:r>
        <w:br w:type="page"/>
      </w:r>
    </w:p>
    <w:p w:rsidR="00EB604C" w:rsidRPr="00261704" w:rsidRDefault="00EB604C" w:rsidP="00261704">
      <w:r w:rsidRPr="00261704">
        <w:lastRenderedPageBreak/>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r w:rsidRPr="00FD57E1">
        <w:rPr>
          <w:b/>
          <w:u w:val="single"/>
        </w:rPr>
        <w:t>Buzzini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xml:space="preserve">” (Leder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B03256" w:rsidRDefault="00B03256" w:rsidP="00EB604C"/>
    <w:p w:rsidR="00F85E31" w:rsidRPr="00FD57E1" w:rsidRDefault="00F85E31" w:rsidP="00261704">
      <w:pPr>
        <w:rPr>
          <w:b/>
          <w:szCs w:val="22"/>
          <w:u w:val="single"/>
        </w:rPr>
      </w:pPr>
      <w:r w:rsidRPr="00261704">
        <w:t xml:space="preserve">Poverty causes nuclear war. </w:t>
      </w:r>
      <w:r w:rsidRPr="00FD57E1">
        <w:rPr>
          <w:b/>
          <w:szCs w:val="22"/>
          <w:u w:val="single"/>
        </w:rPr>
        <w:t>Caldwell 03</w:t>
      </w:r>
      <w:r w:rsidRPr="00FD57E1">
        <w:rPr>
          <w:szCs w:val="22"/>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F85E31" w:rsidRDefault="00F85E31" w:rsidP="00EB604C"/>
    <w:p w:rsidR="00B8321C" w:rsidRDefault="00B8321C">
      <w:r>
        <w:br w:type="page"/>
      </w:r>
    </w:p>
    <w:p w:rsidR="00EB604C" w:rsidRPr="00FD57E1" w:rsidRDefault="00EB604C" w:rsidP="00261704">
      <w:r w:rsidRPr="00261704">
        <w:lastRenderedPageBreak/>
        <w:t xml:space="preserve">Crime kills soft power. </w:t>
      </w:r>
      <w:r w:rsidRPr="00FD57E1">
        <w:rPr>
          <w:b/>
          <w:u w:val="single"/>
        </w:rPr>
        <w:t>Falk 12</w:t>
      </w:r>
      <w:r w:rsidRPr="00FD57E1">
        <w:rPr>
          <w:vertAlign w:val="superscript"/>
        </w:rPr>
        <w:footnoteReference w:id="4"/>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to be seen unfavourably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r w:rsidRPr="00FD57E1">
        <w:rPr>
          <w:b/>
          <w:u w:val="single"/>
        </w:rPr>
        <w:t>democratising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EB604C" w:rsidRPr="00FD57E1" w:rsidRDefault="00EB604C" w:rsidP="00EB604C"/>
    <w:p w:rsidR="00EB604C" w:rsidRPr="00FD57E1" w:rsidRDefault="00EB604C" w:rsidP="00261704">
      <w:r w:rsidRPr="00261704">
        <w:t xml:space="preserve">Soft power solves multiple scenarios for extinction. </w:t>
      </w:r>
      <w:r w:rsidRPr="00FD57E1">
        <w:rPr>
          <w:b/>
          <w:u w:val="single"/>
        </w:rPr>
        <w:t>Nye and Armitage 07</w:t>
      </w:r>
      <w:r w:rsidRPr="00FD57E1">
        <w:rPr>
          <w:vertAlign w:val="superscript"/>
        </w:rPr>
        <w:footnoteReference w:id="5"/>
      </w:r>
    </w:p>
    <w:p w:rsidR="00EB604C" w:rsidRPr="00FD57E1" w:rsidRDefault="00EB604C" w:rsidP="00EB604C">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EB604C" w:rsidRDefault="00EB604C" w:rsidP="00CE4A2D"/>
    <w:p w:rsidR="00B8321C" w:rsidRDefault="00B8321C">
      <w:r>
        <w:br w:type="page"/>
      </w:r>
    </w:p>
    <w:p w:rsidR="00EB604C" w:rsidRPr="00261704" w:rsidRDefault="00B03256" w:rsidP="00261704">
      <w:r w:rsidRPr="00261704">
        <w:lastRenderedPageBreak/>
        <w:t>Advantage 2 is Air Power</w:t>
      </w:r>
    </w:p>
    <w:p w:rsidR="00B03256" w:rsidRDefault="00B03256" w:rsidP="00CE4A2D"/>
    <w:p w:rsidR="00CE4A2D" w:rsidRPr="004D3A2A" w:rsidRDefault="00CE4A2D" w:rsidP="00CE4A2D">
      <w:r w:rsidRPr="00261704">
        <w:t xml:space="preserve">Aerospace industry is declining now due to lack of skilled workers. Increase in community college or vocational training would solve. </w:t>
      </w:r>
      <w:r>
        <w:rPr>
          <w:b/>
          <w:u w:val="single"/>
        </w:rPr>
        <w:t>Koopmans 12</w:t>
      </w:r>
      <w:r w:rsidRPr="004D3A2A">
        <w:rPr>
          <w:rStyle w:val="FootnoteReference"/>
        </w:rPr>
        <w:footnoteReference w:id="6"/>
      </w:r>
      <w:r w:rsidRPr="004D3A2A">
        <w:t xml:space="preserve"> </w:t>
      </w:r>
    </w:p>
    <w:p w:rsidR="00CE4A2D" w:rsidRPr="004D3A2A"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3A2A">
        <w:rPr>
          <w:color w:val="A6A6A6" w:themeColor="background1" w:themeShade="A6"/>
          <w:sz w:val="12"/>
        </w:rPr>
        <w:t>SEATTLE - Boeing has a big job ahead - after last week's announcement of airplane orders and commitments worth billions of dollars. Now,</w:t>
      </w:r>
      <w:r w:rsidRPr="00CE4A2D">
        <w:rPr>
          <w:color w:val="A6A6A6" w:themeColor="background1" w:themeShade="A6"/>
          <w:sz w:val="12"/>
        </w:rPr>
        <w:t xml:space="preserve"> </w:t>
      </w:r>
      <w:r w:rsidRPr="004D3A2A">
        <w:rPr>
          <w:b/>
          <w:u w:val="single"/>
        </w:rPr>
        <w:t>as thousands of aerospace workers prepare to retire,</w:t>
      </w:r>
      <w:r w:rsidRPr="004D3A2A">
        <w:rPr>
          <w:color w:val="A6A6A6" w:themeColor="background1" w:themeShade="A6"/>
          <w:sz w:val="12"/>
        </w:rPr>
        <w:t xml:space="preserve"> U.S. </w:t>
      </w:r>
      <w:r w:rsidRPr="004D3A2A">
        <w:rPr>
          <w:b/>
          <w:u w:val="single"/>
        </w:rPr>
        <w:t>Sen.</w:t>
      </w:r>
      <w:r w:rsidRPr="004D3A2A">
        <w:rPr>
          <w:color w:val="A6A6A6" w:themeColor="background1" w:themeShade="A6"/>
          <w:sz w:val="12"/>
        </w:rPr>
        <w:t xml:space="preserve"> Maria</w:t>
      </w:r>
      <w:r w:rsidRPr="004D3A2A">
        <w:rPr>
          <w:b/>
          <w:u w:val="single"/>
        </w:rPr>
        <w:t xml:space="preserve"> Cantwell </w:t>
      </w:r>
      <w:r w:rsidRPr="004D3A2A">
        <w:rPr>
          <w:color w:val="A6A6A6" w:themeColor="background1" w:themeShade="A6"/>
          <w:sz w:val="12"/>
        </w:rPr>
        <w:t xml:space="preserve">is wondering where the skilled workers will come from to build those planes. During a tour of Machinists Inc., a precision machining company and Boeing supplier in Seattle, Cantwell announced she will be holding a Senate Aviation Subcommittee hearing this week on aviation competitiveness in Washington, D.C. “Over the next 20 years, the aerospace industry is expected to grow by more than $3 trillion,” said Cantwell. “I’m bringing together aviation and aerospace leaders to talk about what they think must be done for the U.S. to remain on top of these industries.”Machinists Inc. is one of hundreds of local manufacturers that will help Boeing reach its goals. The plant will help make parts for the 396 planes Boeing took orders for last week. "Today we're here to make sure that the work force is there to help produce those planes," she said Sunday during her tour of the plant. Cantwell </w:t>
      </w:r>
      <w:r w:rsidRPr="004D3A2A">
        <w:rPr>
          <w:b/>
          <w:u w:val="single"/>
        </w:rPr>
        <w:t>says 21,000 aerospace workers will be needed over the next decade to keep up with international competitors. </w:t>
      </w:r>
      <w:r w:rsidRPr="004D3A2A">
        <w:rPr>
          <w:color w:val="A6A6A6" w:themeColor="background1" w:themeShade="A6"/>
          <w:sz w:val="12"/>
        </w:rPr>
        <w:t>"We want to remain the center of aerospace manufacturing here in the Northwest, so we want to really focus on what we're going to do to get a lot more people interested," she said. To make her point, Cantwell focuses on the numbers.  "</w:t>
      </w:r>
      <w:r w:rsidRPr="004D3A2A">
        <w:rPr>
          <w:b/>
          <w:u w:val="single"/>
        </w:rPr>
        <w:t>Half of the Boeing work force will be eligible to retire in five to seven years</w:t>
      </w:r>
      <w:r w:rsidRPr="004D3A2A">
        <w:rPr>
          <w:color w:val="A6A6A6" w:themeColor="background1" w:themeShade="A6"/>
          <w:sz w:val="12"/>
        </w:rPr>
        <w:t>, meaning that's when there will be a big demand for workers," she says. She says</w:t>
      </w:r>
      <w:r w:rsidRPr="004D3A2A">
        <w:rPr>
          <w:b/>
          <w:u w:val="single"/>
        </w:rPr>
        <w:t xml:space="preserve"> getting workers in takes</w:t>
      </w:r>
      <w:r w:rsidRPr="004D3A2A">
        <w:rPr>
          <w:color w:val="A6A6A6" w:themeColor="background1" w:themeShade="A6"/>
          <w:sz w:val="12"/>
        </w:rPr>
        <w:t xml:space="preserve"> a three-pronged approach.  The first is getting is children interested in aerospace early. Second is </w:t>
      </w:r>
      <w:r w:rsidRPr="004D3A2A">
        <w:rPr>
          <w:b/>
          <w:u w:val="single"/>
        </w:rPr>
        <w:t xml:space="preserve">getting the unemployed trained through community and technical colleges. </w:t>
      </w:r>
      <w:r w:rsidRPr="004D3A2A">
        <w:rPr>
          <w:color w:val="A6A6A6" w:themeColor="background1" w:themeShade="A6"/>
          <w:sz w:val="12"/>
        </w:rPr>
        <w:t xml:space="preserve">And third, attracting technically trained veterans as they return from war.  All that and more will be discussed at Cantwell's hearing, scheduled for Wednesday on Capitol Hill in Washington, D.C. The hearing will include testimony from John J. Tracy, chief technology officer for the Boeing Co.; Stan Sorscher of SPEEA; Dan Elwell, senior vice president of Aerospace Industries Association; Nick Calio, president and CEO of Airlines for America; and Pete Bunce, president and CEO of General Aviation Manufacturers Association. </w:t>
      </w:r>
    </w:p>
    <w:p w:rsidR="00CE4A2D" w:rsidRDefault="00CE4A2D" w:rsidP="00CE4A2D">
      <w:pPr>
        <w:rPr>
          <w:color w:val="A6A6A6" w:themeColor="background1" w:themeShade="A6"/>
          <w:sz w:val="12"/>
        </w:rPr>
      </w:pPr>
    </w:p>
    <w:p w:rsidR="00CE4A2D" w:rsidRPr="00391471" w:rsidRDefault="00CE4A2D" w:rsidP="00CE4A2D">
      <w:r w:rsidRPr="00391471">
        <w:t xml:space="preserve">Pell Grants incentivize prison community college </w:t>
      </w:r>
      <w:r>
        <w:t xml:space="preserve">and vocational </w:t>
      </w:r>
      <w:r w:rsidRPr="00391471">
        <w:t xml:space="preserve">programs which teach key </w:t>
      </w:r>
      <w:r>
        <w:t xml:space="preserve">tech </w:t>
      </w:r>
      <w:r w:rsidRPr="00391471">
        <w:t xml:space="preserve">skills. </w:t>
      </w:r>
      <w:r w:rsidRPr="00391471">
        <w:rPr>
          <w:b/>
          <w:u w:val="single"/>
        </w:rPr>
        <w:t>Young 11</w:t>
      </w:r>
      <w:r w:rsidRPr="00391471">
        <w:rPr>
          <w:vertAlign w:val="superscript"/>
        </w:rPr>
        <w:footnoteReference w:id="7"/>
      </w:r>
    </w:p>
    <w:p w:rsidR="00CE4A2D" w:rsidRPr="00391471"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prisoners into grantfunded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172D09" w:rsidRDefault="00172D09" w:rsidP="00172D09">
      <w:pPr>
        <w:ind w:right="-1"/>
      </w:pPr>
    </w:p>
    <w:p w:rsidR="00261704" w:rsidRDefault="00261704" w:rsidP="00261704">
      <w:r w:rsidRPr="00261704">
        <w:t>Air and space power are key to deter WMD conflict in Asia.</w:t>
      </w:r>
    </w:p>
    <w:p w:rsidR="00172D09" w:rsidRPr="00986F10" w:rsidRDefault="00986F10" w:rsidP="00261704">
      <w:r>
        <w:rPr>
          <w:b/>
          <w:u w:val="single"/>
        </w:rPr>
        <w:t>Khalilzad and Lesser 98</w:t>
      </w:r>
      <w:r>
        <w:t xml:space="preserve"> write</w:t>
      </w:r>
      <w:r>
        <w:rPr>
          <w:rStyle w:val="FootnoteReference"/>
        </w:rPr>
        <w:footnoteReference w:id="8"/>
      </w:r>
    </w:p>
    <w:p w:rsidR="00172D09" w:rsidRPr="00172D09" w:rsidRDefault="00172D09" w:rsidP="00986F10">
      <w:pPr>
        <w:pBdr>
          <w:top w:val="single" w:sz="4" w:space="1" w:color="auto"/>
          <w:left w:val="single" w:sz="4" w:space="1" w:color="auto"/>
          <w:bottom w:val="single" w:sz="4" w:space="1" w:color="auto"/>
          <w:right w:val="single" w:sz="4" w:space="1" w:color="auto"/>
        </w:pBdr>
        <w:rPr>
          <w:rFonts w:eastAsia="Calibri" w:cs="Times New Roman"/>
          <w:color w:val="A6A6A6" w:themeColor="background1" w:themeShade="A6"/>
          <w:sz w:val="12"/>
          <w:szCs w:val="22"/>
        </w:rPr>
      </w:pPr>
      <w:r w:rsidRPr="000765ED">
        <w:rPr>
          <w:rFonts w:eastAsia="Calibri" w:cs="Times New Roman"/>
          <w:color w:val="A6A6A6"/>
          <w:sz w:val="12"/>
          <w:szCs w:val="22"/>
        </w:rPr>
        <w:lastRenderedPageBreak/>
        <w:t xml:space="preserve">The first key implication derived from the analysis of trends in Asia suggests that </w:t>
      </w:r>
      <w:r w:rsidRPr="000765ED">
        <w:rPr>
          <w:rFonts w:eastAsia="Calibri" w:cs="Times New Roman"/>
          <w:b/>
          <w:szCs w:val="22"/>
          <w:u w:val="single"/>
        </w:rPr>
        <w:t>American air and space power will</w:t>
      </w:r>
      <w:r w:rsidRPr="000765ED">
        <w:rPr>
          <w:rFonts w:eastAsia="Calibri" w:cs="Times New Roman"/>
          <w:color w:val="A6A6A6"/>
          <w:sz w:val="12"/>
          <w:szCs w:val="22"/>
        </w:rPr>
        <w:t xml:space="preserve"> continue to </w:t>
      </w:r>
      <w:r w:rsidRPr="000765ED">
        <w:rPr>
          <w:rFonts w:eastAsia="Calibri" w:cs="Times New Roman"/>
          <w:b/>
          <w:szCs w:val="22"/>
          <w:u w:val="single"/>
        </w:rPr>
        <w:t xml:space="preserve">remain </w:t>
      </w:r>
      <w:r w:rsidRPr="000765ED">
        <w:rPr>
          <w:rFonts w:eastAsia="Calibri" w:cs="Times New Roman"/>
          <w:b/>
          <w:bCs/>
          <w:szCs w:val="22"/>
          <w:u w:val="single"/>
        </w:rPr>
        <w:t>critical</w:t>
      </w:r>
      <w:r w:rsidRPr="000765ED">
        <w:rPr>
          <w:rFonts w:eastAsia="Calibri" w:cs="Times New Roman"/>
          <w:b/>
          <w:szCs w:val="22"/>
          <w:u w:val="single"/>
        </w:rPr>
        <w:t xml:space="preserve"> for</w:t>
      </w:r>
      <w:r w:rsidRPr="000765ED">
        <w:rPr>
          <w:rFonts w:eastAsia="Calibri" w:cs="Times New Roman"/>
          <w:color w:val="A6A6A6"/>
          <w:sz w:val="12"/>
          <w:szCs w:val="22"/>
        </w:rPr>
        <w:t xml:space="preserve"> conventional and unconventional </w:t>
      </w:r>
      <w:r w:rsidRPr="000765ED">
        <w:rPr>
          <w:rFonts w:eastAsia="Calibri" w:cs="Times New Roman"/>
          <w:b/>
          <w:szCs w:val="22"/>
          <w:u w:val="single"/>
        </w:rPr>
        <w:t xml:space="preserve">deterrence in </w:t>
      </w:r>
      <w:smartTag w:uri="urn:schemas-microsoft-com:office:smarttags" w:element="place">
        <w:r w:rsidRPr="000765ED">
          <w:rPr>
            <w:rFonts w:eastAsia="Calibri" w:cs="Times New Roman"/>
            <w:b/>
            <w:szCs w:val="22"/>
            <w:u w:val="single"/>
          </w:rPr>
          <w:t>Asia</w:t>
        </w:r>
      </w:smartTag>
      <w:r w:rsidRPr="00F60BAF">
        <w:rPr>
          <w:rFonts w:eastAsia="Calibri" w:cs="Times New Roman"/>
          <w:color w:val="A6A6A6" w:themeColor="background1" w:themeShade="A6"/>
          <w:sz w:val="12"/>
          <w:szCs w:val="22"/>
        </w:rPr>
        <w:t xml:space="preserve">. This argument is justified by the fact that several subregions of the continent still harbor the potential for </w:t>
      </w:r>
      <w:r w:rsidRPr="00F60BAF">
        <w:rPr>
          <w:rFonts w:eastAsia="Calibri" w:cs="Times New Roman"/>
          <w:bCs/>
          <w:color w:val="A6A6A6" w:themeColor="background1" w:themeShade="A6"/>
          <w:sz w:val="12"/>
          <w:szCs w:val="22"/>
        </w:rPr>
        <w:t>full-scale</w:t>
      </w:r>
      <w:r w:rsidRPr="00F60BAF">
        <w:rPr>
          <w:rFonts w:eastAsia="Calibri" w:cs="Times New Roman"/>
          <w:color w:val="A6A6A6" w:themeColor="background1" w:themeShade="A6"/>
          <w:sz w:val="12"/>
          <w:szCs w:val="22"/>
        </w:rPr>
        <w:t xml:space="preserve"> conventional </w:t>
      </w:r>
      <w:r w:rsidRPr="00F60BAF">
        <w:rPr>
          <w:rFonts w:eastAsia="Calibri" w:cs="Times New Roman"/>
          <w:bCs/>
          <w:color w:val="A6A6A6" w:themeColor="background1" w:themeShade="A6"/>
          <w:sz w:val="12"/>
          <w:szCs w:val="22"/>
        </w:rPr>
        <w:t>war</w:t>
      </w:r>
      <w:r w:rsidRPr="00F60BAF">
        <w:rPr>
          <w:rFonts w:eastAsia="Calibri" w:cs="Times New Roman"/>
          <w:color w:val="A6A6A6" w:themeColor="background1" w:themeShade="A6"/>
          <w:sz w:val="12"/>
          <w:szCs w:val="22"/>
        </w:rPr>
        <w:t xml:space="preserve">. This potential </w:t>
      </w:r>
      <w:r w:rsidRPr="00F60BAF">
        <w:rPr>
          <w:rFonts w:eastAsia="Calibri" w:cs="Times New Roman"/>
          <w:bCs/>
          <w:color w:val="A6A6A6" w:themeColor="background1" w:themeShade="A6"/>
          <w:sz w:val="12"/>
          <w:szCs w:val="22"/>
        </w:rPr>
        <w:t>is m</w:t>
      </w:r>
      <w:r w:rsidRPr="00F60BAF">
        <w:rPr>
          <w:rFonts w:eastAsia="Calibri" w:cs="Times New Roman"/>
          <w:color w:val="A6A6A6" w:themeColor="background1" w:themeShade="A6"/>
          <w:sz w:val="12"/>
          <w:szCs w:val="22"/>
        </w:rPr>
        <w:t xml:space="preserve">ost conspicuous on the Korean peninsula </w:t>
      </w:r>
      <w:r w:rsidRPr="00F60BAF">
        <w:rPr>
          <w:rFonts w:eastAsia="Calibri" w:cs="Times New Roman"/>
          <w:bCs/>
          <w:color w:val="A6A6A6" w:themeColor="background1" w:themeShade="A6"/>
          <w:sz w:val="12"/>
          <w:szCs w:val="22"/>
        </w:rPr>
        <w:t>and</w:t>
      </w:r>
      <w:r w:rsidRPr="00F60BAF">
        <w:rPr>
          <w:rFonts w:eastAsia="Calibri" w:cs="Times New Roman"/>
          <w:color w:val="A6A6A6" w:themeColor="background1" w:themeShade="A6"/>
          <w:sz w:val="12"/>
          <w:szCs w:val="22"/>
        </w:rPr>
        <w:t xml:space="preserve">, to a lesser degree, </w:t>
      </w:r>
      <w:r w:rsidRPr="00F60BAF">
        <w:rPr>
          <w:rFonts w:eastAsia="Calibri" w:cs="Times New Roman"/>
          <w:bCs/>
          <w:color w:val="A6A6A6" w:themeColor="background1" w:themeShade="A6"/>
          <w:sz w:val="12"/>
          <w:szCs w:val="22"/>
        </w:rPr>
        <w:t>in South</w:t>
      </w:r>
      <w:r w:rsidRPr="00F60BAF">
        <w:rPr>
          <w:rFonts w:eastAsia="Calibri" w:cs="Times New Roman"/>
          <w:color w:val="A6A6A6" w:themeColor="background1" w:themeShade="A6"/>
          <w:sz w:val="12"/>
          <w:szCs w:val="22"/>
        </w:rPr>
        <w:t xml:space="preserve"> Asia, the Persian Gulf, </w:t>
      </w:r>
      <w:r w:rsidRPr="00F60BAF">
        <w:rPr>
          <w:color w:val="A6A6A6" w:themeColor="background1" w:themeShade="A6"/>
          <w:sz w:val="12"/>
        </w:rPr>
        <w:t>and the South</w:t>
      </w:r>
      <w:r w:rsidRPr="00F60BAF">
        <w:rPr>
          <w:rFonts w:eastAsia="Calibri" w:cs="Times New Roman"/>
          <w:color w:val="A6A6A6" w:themeColor="background1" w:themeShade="A6"/>
          <w:sz w:val="12"/>
          <w:szCs w:val="22"/>
        </w:rPr>
        <w:t xml:space="preserve"> China Sea. In some of these areas, such as Korea and the Persian Gulf, the United States has clear treaty obligations and, therefore, has preplanned the use of air power should contingencies arise. U.S. Air Force assets could also be called upon for operations in some of these other areas. In almost all these cases, U.S. air power would be at the </w:t>
      </w:r>
      <w:r w:rsidRPr="00F60BAF">
        <w:rPr>
          <w:rFonts w:eastAsia="Calibri" w:cs="Times New Roman"/>
          <w:bCs/>
          <w:color w:val="A6A6A6" w:themeColor="background1" w:themeShade="A6"/>
          <w:sz w:val="12"/>
          <w:szCs w:val="22"/>
        </w:rPr>
        <w:t>forefront</w:t>
      </w:r>
      <w:r w:rsidRPr="00F60BAF">
        <w:rPr>
          <w:rFonts w:eastAsia="Calibri" w:cs="Times New Roman"/>
          <w:color w:val="A6A6A6" w:themeColor="background1" w:themeShade="A6"/>
          <w:sz w:val="12"/>
          <w:szCs w:val="22"/>
        </w:rPr>
        <w:t xml:space="preserve"> of an American politico-military </w:t>
      </w:r>
      <w:r w:rsidRPr="00986F10">
        <w:rPr>
          <w:rFonts w:eastAsia="Calibri" w:cs="Times New Roman"/>
          <w:color w:val="A6A6A6" w:themeColor="background1" w:themeShade="A6"/>
          <w:sz w:val="12"/>
          <w:szCs w:val="22"/>
        </w:rPr>
        <w:t xml:space="preserve">response </w:t>
      </w:r>
      <w:r w:rsidRPr="00F412DC">
        <w:rPr>
          <w:b/>
          <w:u w:val="single"/>
        </w:rPr>
        <w:t>because (a)</w:t>
      </w:r>
      <w:r w:rsidRPr="00F412DC">
        <w:rPr>
          <w:color w:val="A6A6A6" w:themeColor="background1" w:themeShade="A6"/>
          <w:sz w:val="12"/>
        </w:rPr>
        <w:t xml:space="preserve"> of</w:t>
      </w:r>
      <w:r w:rsidRPr="00F412DC">
        <w:rPr>
          <w:rFonts w:eastAsia="Calibri" w:cs="Times New Roman"/>
          <w:color w:val="A6A6A6" w:themeColor="background1" w:themeShade="A6"/>
          <w:sz w:val="12"/>
          <w:szCs w:val="22"/>
        </w:rPr>
        <w:t xml:space="preserve"> </w:t>
      </w:r>
      <w:r w:rsidRPr="000765ED">
        <w:rPr>
          <w:rFonts w:eastAsia="Calibri" w:cs="Times New Roman"/>
          <w:color w:val="A6A6A6"/>
          <w:sz w:val="12"/>
          <w:szCs w:val="22"/>
        </w:rPr>
        <w:t xml:space="preserve">the vast </w:t>
      </w:r>
      <w:r w:rsidRPr="000765ED">
        <w:rPr>
          <w:rFonts w:eastAsia="Calibri" w:cs="Times New Roman"/>
          <w:b/>
          <w:szCs w:val="22"/>
          <w:u w:val="single"/>
        </w:rPr>
        <w:t>distance</w:t>
      </w:r>
      <w:r w:rsidRPr="00986F10">
        <w:rPr>
          <w:rFonts w:eastAsia="Calibri" w:cs="Times New Roman"/>
          <w:color w:val="A6A6A6" w:themeColor="background1" w:themeShade="A6"/>
          <w:sz w:val="12"/>
          <w:szCs w:val="22"/>
        </w:rPr>
        <w:t xml:space="preserve">s </w:t>
      </w:r>
      <w:r w:rsidRPr="000765ED">
        <w:rPr>
          <w:rFonts w:eastAsia="Calibri" w:cs="Times New Roman"/>
          <w:color w:val="A6A6A6"/>
          <w:sz w:val="12"/>
          <w:szCs w:val="22"/>
        </w:rPr>
        <w:t xml:space="preserve">on the Asian continent; </w:t>
      </w:r>
      <w:r w:rsidRPr="00F412DC">
        <w:rPr>
          <w:b/>
          <w:u w:val="single"/>
        </w:rPr>
        <w:t>(b)</w:t>
      </w:r>
      <w:r w:rsidRPr="000765ED">
        <w:rPr>
          <w:rFonts w:eastAsia="Calibri" w:cs="Times New Roman"/>
          <w:color w:val="A6A6A6"/>
          <w:sz w:val="12"/>
          <w:szCs w:val="22"/>
        </w:rPr>
        <w:t xml:space="preserve"> the </w:t>
      </w:r>
      <w:r w:rsidRPr="000765ED">
        <w:rPr>
          <w:rFonts w:eastAsia="Calibri" w:cs="Times New Roman"/>
          <w:b/>
          <w:szCs w:val="22"/>
          <w:u w:val="single"/>
        </w:rPr>
        <w:t>diverse</w:t>
      </w:r>
      <w:r w:rsidRPr="000765ED">
        <w:rPr>
          <w:rFonts w:eastAsia="Calibri" w:cs="Times New Roman"/>
          <w:color w:val="A6A6A6"/>
          <w:sz w:val="12"/>
          <w:szCs w:val="22"/>
        </w:rPr>
        <w:t xml:space="preserve"> range of operational </w:t>
      </w:r>
      <w:r w:rsidRPr="000765ED">
        <w:rPr>
          <w:rFonts w:eastAsia="Calibri" w:cs="Times New Roman"/>
          <w:b/>
          <w:szCs w:val="22"/>
          <w:u w:val="single"/>
        </w:rPr>
        <w:t>platforms</w:t>
      </w:r>
      <w:r w:rsidRPr="000765ED">
        <w:rPr>
          <w:rFonts w:eastAsia="Calibri" w:cs="Times New Roman"/>
          <w:color w:val="A6A6A6"/>
          <w:sz w:val="12"/>
          <w:szCs w:val="22"/>
        </w:rPr>
        <w:t xml:space="preserve"> available to the U.S. Air Force, a capability unmatched by any other country or service; </w:t>
      </w:r>
      <w:r w:rsidRPr="00F412DC">
        <w:rPr>
          <w:b/>
          <w:u w:val="single"/>
        </w:rPr>
        <w:t>(c)</w:t>
      </w:r>
      <w:r w:rsidRPr="000765ED">
        <w:rPr>
          <w:rFonts w:eastAsia="Calibri" w:cs="Times New Roman"/>
          <w:color w:val="A6A6A6"/>
          <w:sz w:val="12"/>
          <w:szCs w:val="22"/>
        </w:rPr>
        <w:t xml:space="preserve"> the possible </w:t>
      </w:r>
      <w:r w:rsidRPr="000765ED">
        <w:rPr>
          <w:rFonts w:eastAsia="Calibri" w:cs="Times New Roman"/>
          <w:b/>
          <w:szCs w:val="22"/>
          <w:u w:val="single"/>
        </w:rPr>
        <w:t>unavailability of naval assets</w:t>
      </w:r>
      <w:r w:rsidRPr="000765ED">
        <w:rPr>
          <w:rFonts w:eastAsia="Calibri" w:cs="Times New Roman"/>
          <w:color w:val="A6A6A6"/>
          <w:sz w:val="12"/>
          <w:szCs w:val="22"/>
        </w:rPr>
        <w:t xml:space="preserve"> in close proximity, particularly in the context of surprise contingencies; </w:t>
      </w:r>
      <w:r w:rsidRPr="00F412DC">
        <w:rPr>
          <w:b/>
          <w:u w:val="single"/>
        </w:rPr>
        <w:t>and (d)</w:t>
      </w:r>
      <w:r w:rsidRPr="00F412DC">
        <w:rPr>
          <w:color w:val="A6A6A6" w:themeColor="background1" w:themeShade="A6"/>
          <w:sz w:val="12"/>
        </w:rPr>
        <w:t xml:space="preserve"> the </w:t>
      </w:r>
      <w:r w:rsidRPr="00F412DC">
        <w:rPr>
          <w:b/>
          <w:u w:val="single"/>
        </w:rPr>
        <w:t>heavy payload</w:t>
      </w:r>
      <w:r w:rsidRPr="000765ED">
        <w:rPr>
          <w:rFonts w:eastAsia="Calibri" w:cs="Times New Roman"/>
          <w:color w:val="A6A6A6"/>
          <w:sz w:val="12"/>
          <w:szCs w:val="22"/>
        </w:rPr>
        <w:t xml:space="preserve"> that can be carried by U.S. Air Force platforms. These platforms can exploit speed, reach, and high operating tempos to sustain continual operations until </w:t>
      </w:r>
      <w:r w:rsidRPr="00F412DC">
        <w:rPr>
          <w:rFonts w:eastAsia="Calibri" w:cs="Times New Roman"/>
          <w:color w:val="A6A6A6" w:themeColor="background1" w:themeShade="A6"/>
          <w:sz w:val="12"/>
          <w:szCs w:val="22"/>
        </w:rPr>
        <w:t xml:space="preserve">the political objectives are secured. The entire range of warfighting capability—fighters, bombers, electronic warfare (EW), suppression of enemy air defense (SEAD), combat support platforms such as AWACS and J-STARS, and tankers—are relevant in the Asia-Pacific region, because many of the </w:t>
      </w:r>
      <w:r w:rsidRPr="00F412DC">
        <w:rPr>
          <w:rFonts w:eastAsia="Calibri" w:cs="Times New Roman"/>
          <w:bCs/>
          <w:color w:val="A6A6A6" w:themeColor="background1" w:themeShade="A6"/>
          <w:sz w:val="12"/>
          <w:szCs w:val="22"/>
        </w:rPr>
        <w:t>regional contingencies will involve armed operations</w:t>
      </w:r>
      <w:r w:rsidRPr="00F412DC">
        <w:rPr>
          <w:rFonts w:eastAsia="Calibri" w:cs="Times New Roman"/>
          <w:color w:val="A6A6A6" w:themeColor="background1" w:themeShade="A6"/>
          <w:sz w:val="12"/>
          <w:szCs w:val="22"/>
        </w:rPr>
        <w:t xml:space="preserve"> against large, fairly modern, conventional forces, most of which are built around large land armies, as is the case in </w:t>
      </w:r>
      <w:r w:rsidRPr="00F412DC">
        <w:rPr>
          <w:rFonts w:eastAsia="Calibri" w:cs="Times New Roman"/>
          <w:bCs/>
          <w:color w:val="A6A6A6" w:themeColor="background1" w:themeShade="A6"/>
          <w:sz w:val="12"/>
          <w:szCs w:val="22"/>
        </w:rPr>
        <w:t>Korea, China-Taiwan, India-Pakistan, and the Persian Gulf</w:t>
      </w:r>
      <w:r w:rsidRPr="00F412DC">
        <w:rPr>
          <w:rFonts w:eastAsia="Calibri" w:cs="Times New Roman"/>
          <w:color w:val="A6A6A6" w:themeColor="background1" w:themeShade="A6"/>
          <w:sz w:val="12"/>
          <w:szCs w:val="22"/>
        </w:rPr>
        <w:t>. In addition to conventional combat, the</w:t>
      </w:r>
      <w:r w:rsidRPr="000765ED">
        <w:rPr>
          <w:rFonts w:eastAsia="Calibri" w:cs="Times New Roman"/>
          <w:color w:val="A6A6A6"/>
          <w:sz w:val="12"/>
          <w:szCs w:val="22"/>
        </w:rPr>
        <w:t xml:space="preserve"> demands of unconventional deterrence will increasingly confront the U.S. Air Force in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The </w:t>
      </w:r>
      <w:r w:rsidRPr="000765ED">
        <w:rPr>
          <w:rFonts w:eastAsia="Calibri" w:cs="Times New Roman"/>
          <w:b/>
          <w:szCs w:val="22"/>
          <w:u w:val="single"/>
        </w:rPr>
        <w:t>Korea</w:t>
      </w:r>
      <w:r w:rsidRPr="000765ED">
        <w:rPr>
          <w:rFonts w:eastAsia="Calibri" w:cs="Times New Roman"/>
          <w:color w:val="A6A6A6"/>
          <w:sz w:val="12"/>
          <w:szCs w:val="22"/>
        </w:rPr>
        <w:t xml:space="preserve">n peninsula, </w:t>
      </w:r>
      <w:smartTag w:uri="urn:schemas-microsoft-com:office:smarttags" w:element="place">
        <w:smartTag w:uri="urn:schemas-microsoft-com:office:smarttags" w:element="country-region">
          <w:r w:rsidRPr="000765ED">
            <w:rPr>
              <w:rFonts w:eastAsia="Calibri" w:cs="Times New Roman"/>
              <w:b/>
              <w:szCs w:val="22"/>
              <w:u w:val="single"/>
            </w:rPr>
            <w:t>China</w:t>
          </w:r>
        </w:smartTag>
      </w:smartTag>
      <w:r w:rsidRPr="000765ED">
        <w:rPr>
          <w:rFonts w:eastAsia="Calibri" w:cs="Times New Roman"/>
          <w:b/>
          <w:szCs w:val="22"/>
          <w:u w:val="single"/>
        </w:rPr>
        <w:t>, and</w:t>
      </w:r>
      <w:r w:rsidRPr="000765ED">
        <w:rPr>
          <w:rFonts w:eastAsia="Calibri" w:cs="Times New Roman"/>
          <w:color w:val="A6A6A6"/>
          <w:sz w:val="12"/>
          <w:szCs w:val="22"/>
        </w:rPr>
        <w:t xml:space="preserve"> the </w:t>
      </w:r>
      <w:r w:rsidRPr="000765ED">
        <w:rPr>
          <w:rFonts w:eastAsia="Calibri" w:cs="Times New Roman"/>
          <w:b/>
          <w:szCs w:val="22"/>
          <w:u w:val="single"/>
        </w:rPr>
        <w:t>India</w:t>
      </w:r>
      <w:r w:rsidRPr="000765ED">
        <w:rPr>
          <w:rFonts w:eastAsia="Calibri" w:cs="Times New Roman"/>
          <w:color w:val="A6A6A6"/>
          <w:sz w:val="12"/>
          <w:szCs w:val="22"/>
        </w:rPr>
        <w:t xml:space="preserve">n subcontinent </w:t>
      </w:r>
      <w:r w:rsidRPr="000765ED">
        <w:rPr>
          <w:rFonts w:eastAsia="Calibri" w:cs="Times New Roman"/>
          <w:b/>
          <w:szCs w:val="22"/>
          <w:u w:val="single"/>
        </w:rPr>
        <w:t>are already arenas of</w:t>
      </w:r>
      <w:r w:rsidRPr="000765ED">
        <w:rPr>
          <w:rFonts w:eastAsia="Calibri" w:cs="Times New Roman"/>
          <w:color w:val="A6A6A6"/>
          <w:sz w:val="12"/>
          <w:szCs w:val="22"/>
        </w:rPr>
        <w:t xml:space="preserve"> </w:t>
      </w:r>
      <w:r w:rsidRPr="000765ED">
        <w:rPr>
          <w:rFonts w:eastAsia="Calibri" w:cs="Times New Roman"/>
          <w:bCs/>
          <w:color w:val="A6A6A6"/>
          <w:sz w:val="12"/>
          <w:szCs w:val="22"/>
        </w:rPr>
        <w:t xml:space="preserve">WMD </w:t>
      </w:r>
      <w:r w:rsidRPr="000765ED">
        <w:rPr>
          <w:rFonts w:eastAsia="Calibri" w:cs="Times New Roman"/>
          <w:b/>
          <w:bCs/>
          <w:szCs w:val="22"/>
          <w:u w:val="single"/>
        </w:rPr>
        <w:t>prolif</w:t>
      </w:r>
      <w:r w:rsidRPr="000765ED">
        <w:rPr>
          <w:rFonts w:eastAsia="Calibri" w:cs="Times New Roman"/>
          <w:bCs/>
          <w:color w:val="A6A6A6"/>
          <w:sz w:val="12"/>
          <w:szCs w:val="22"/>
        </w:rPr>
        <w:t>eration</w:t>
      </w:r>
      <w:r w:rsidRPr="000765ED">
        <w:rPr>
          <w:rFonts w:eastAsia="Calibri" w:cs="Times New Roman"/>
          <w:color w:val="A6A6A6"/>
          <w:sz w:val="12"/>
          <w:szCs w:val="22"/>
        </w:rPr>
        <w:t xml:space="preserve">. While emergent </w:t>
      </w:r>
      <w:r w:rsidRPr="00172D09">
        <w:rPr>
          <w:b/>
          <w:u w:val="single"/>
        </w:rPr>
        <w:t>nuclear</w:t>
      </w:r>
      <w:r w:rsidRPr="00172D09">
        <w:rPr>
          <w:color w:val="A6A6A6" w:themeColor="background1" w:themeShade="A6"/>
          <w:sz w:val="12"/>
        </w:rPr>
        <w:t xml:space="preserve"> capabilities continue to receive the most public attention, </w:t>
      </w:r>
      <w:r w:rsidRPr="00172D09">
        <w:rPr>
          <w:b/>
          <w:u w:val="single"/>
        </w:rPr>
        <w:t>chemical and bio</w:t>
      </w:r>
      <w:r w:rsidRPr="00172D09">
        <w:rPr>
          <w:color w:val="A6A6A6" w:themeColor="background1" w:themeShade="A6"/>
          <w:sz w:val="12"/>
        </w:rPr>
        <w:t xml:space="preserve">logical warfare </w:t>
      </w:r>
      <w:r w:rsidRPr="00172D09">
        <w:rPr>
          <w:b/>
          <w:u w:val="single"/>
        </w:rPr>
        <w:t>threats will</w:t>
      </w:r>
      <w:r w:rsidRPr="00172D09">
        <w:rPr>
          <w:color w:val="A6A6A6" w:themeColor="background1" w:themeShade="A6"/>
          <w:sz w:val="12"/>
        </w:rPr>
        <w:t xml:space="preserve"> progressively </w:t>
      </w:r>
      <w:r w:rsidRPr="00172D09">
        <w:rPr>
          <w:b/>
          <w:u w:val="single"/>
        </w:rPr>
        <w:t>become future problems.</w:t>
      </w:r>
      <w:r w:rsidRPr="00172D09">
        <w:rPr>
          <w:color w:val="A6A6A6" w:themeColor="background1" w:themeShade="A6"/>
          <w:sz w:val="12"/>
        </w:rPr>
        <w:t xml:space="preserve"> </w:t>
      </w:r>
      <w:r w:rsidRPr="000765ED">
        <w:rPr>
          <w:rFonts w:eastAsia="Calibri" w:cs="Times New Roman"/>
          <w:color w:val="A6A6A6"/>
          <w:sz w:val="12"/>
          <w:szCs w:val="22"/>
        </w:rPr>
        <w:t xml:space="preserve">The delivery systems in the region are increasing in range and diversity. </w:t>
      </w:r>
      <w:smartTag w:uri="urn:schemas-microsoft-com:office:smarttags" w:element="country-region">
        <w:r w:rsidRPr="000765ED">
          <w:rPr>
            <w:rFonts w:eastAsia="Calibri" w:cs="Times New Roman"/>
            <w:color w:val="A6A6A6"/>
            <w:sz w:val="12"/>
            <w:szCs w:val="22"/>
          </w:rPr>
          <w:t>China</w:t>
        </w:r>
      </w:smartTag>
      <w:r w:rsidRPr="000765ED">
        <w:rPr>
          <w:rFonts w:eastAsia="Calibri" w:cs="Times New Roman"/>
          <w:color w:val="A6A6A6"/>
          <w:sz w:val="12"/>
          <w:szCs w:val="22"/>
        </w:rPr>
        <w:t xml:space="preserve"> already targets the continental </w:t>
      </w:r>
      <w:smartTag w:uri="urn:schemas-microsoft-com:office:smarttags" w:element="place">
        <w:smartTag w:uri="urn:schemas-microsoft-com:office:smarttags" w:element="country-region">
          <w:r w:rsidRPr="000765ED">
            <w:rPr>
              <w:rFonts w:eastAsia="Calibri" w:cs="Times New Roman"/>
              <w:color w:val="A6A6A6"/>
              <w:sz w:val="12"/>
              <w:szCs w:val="22"/>
            </w:rPr>
            <w:t>United States</w:t>
          </w:r>
        </w:smartTag>
      </w:smartTag>
      <w:r w:rsidRPr="000765ED">
        <w:rPr>
          <w:rFonts w:eastAsia="Calibri" w:cs="Times New Roman"/>
          <w:color w:val="A6A6A6"/>
          <w:sz w:val="12"/>
          <w:szCs w:val="22"/>
        </w:rPr>
        <w:t xml:space="preserve"> with ballistic missiles. </w:t>
      </w:r>
      <w:smartTag w:uri="urn:schemas-microsoft-com:office:smarttags" w:element="country-region">
        <w:r w:rsidRPr="000765ED">
          <w:rPr>
            <w:rFonts w:eastAsia="Calibri" w:cs="Times New Roman"/>
            <w:color w:val="A6A6A6"/>
            <w:sz w:val="12"/>
            <w:szCs w:val="22"/>
          </w:rPr>
          <w:t>North Korea</w:t>
        </w:r>
      </w:smartTag>
      <w:r w:rsidRPr="000765ED">
        <w:rPr>
          <w:rFonts w:eastAsia="Calibri" w:cs="Times New Roman"/>
          <w:color w:val="A6A6A6"/>
          <w:sz w:val="12"/>
          <w:szCs w:val="22"/>
        </w:rPr>
        <w:t xml:space="preserve"> can threaten northeast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with existing Scud-class </w:t>
      </w:r>
      <w:r w:rsidRPr="00172D09">
        <w:rPr>
          <w:rFonts w:eastAsia="Calibri" w:cs="Times New Roman"/>
          <w:color w:val="A6A6A6" w:themeColor="background1" w:themeShade="A6"/>
          <w:sz w:val="12"/>
          <w:szCs w:val="22"/>
        </w:rPr>
        <w:t xml:space="preserve">theater ballistic missiles. India will acquire the capability to produce ICBM-class delivery vehicles, and both China and India will acquire long-range cruise missiles during the time frames examined in this report. </w:t>
      </w:r>
    </w:p>
    <w:p w:rsidR="00172D09" w:rsidRDefault="00172D09" w:rsidP="00986F10">
      <w:pPr>
        <w:pBdr>
          <w:top w:val="single" w:sz="4" w:space="1" w:color="auto"/>
          <w:left w:val="single" w:sz="4" w:space="1" w:color="auto"/>
          <w:bottom w:val="single" w:sz="4" w:space="1" w:color="auto"/>
          <w:right w:val="single" w:sz="4" w:space="1" w:color="auto"/>
        </w:pBdr>
        <w:rPr>
          <w:b/>
          <w:u w:val="single"/>
        </w:rPr>
      </w:pPr>
      <w:r w:rsidRPr="00172D09">
        <w:rPr>
          <w:color w:val="A6A6A6" w:themeColor="background1" w:themeShade="A6"/>
          <w:sz w:val="12"/>
        </w:rPr>
        <w:t xml:space="preserve">The second key implication derived from the analysis of trends in Asia suggests that </w:t>
      </w:r>
      <w:r w:rsidRPr="00172D09">
        <w:rPr>
          <w:b/>
          <w:u w:val="single"/>
        </w:rPr>
        <w:t>air and space power will function as a vital rapid reaction force</w:t>
      </w:r>
      <w:r w:rsidRPr="00F60BAF">
        <w:rPr>
          <w:color w:val="A6A6A6" w:themeColor="background1" w:themeShade="A6"/>
          <w:sz w:val="12"/>
        </w:rPr>
        <w:t xml:space="preserve"> in a breaking crisis. Current guidance tasks the Air Force to prepare for two major regional conflicts that could break out in the Persian Gulf and on the Korean peninsula. In other areas of Asia, however, such as the Indian subcontinent, the South China Sea, Southeast Asia, and Myanmar, the United States has no treaty obligations requiring it to commit the use of its military forces. But as past experience has shown, American policymakers have regularly displayed the disconcerting habit of discovering strategic interests </w:t>
      </w:r>
      <w:r w:rsidRPr="00172D09">
        <w:rPr>
          <w:color w:val="A6A6A6" w:themeColor="background1" w:themeShade="A6"/>
          <w:sz w:val="12"/>
        </w:rPr>
        <w:t xml:space="preserve">in parts of the world previously neglected after conflicts have already broken out. Mindful of this trend, it would behoove U.S. Air Force planners to prudently plan for regional contingencies in nontraditional areas of interest, because naval and air power will of necessity be the primary instruments constituting the American response. Such responses would be necessitated by three general classes of contingencies. The first involves the politico-military collapse of a key regional actor, as might occur in the case of North Korea, Myanmar, Indonesia, or Pakistan. The second involves acute politicalmilitary crises that have a potential for </w:t>
      </w:r>
      <w:r w:rsidRPr="00172D09">
        <w:rPr>
          <w:b/>
          <w:u w:val="single"/>
        </w:rPr>
        <w:t>rapid escalation</w:t>
      </w:r>
      <w:r w:rsidRPr="00172D09">
        <w:rPr>
          <w:color w:val="A6A6A6" w:themeColor="background1" w:themeShade="A6"/>
          <w:sz w:val="12"/>
        </w:rPr>
        <w:t xml:space="preserve">, as </w:t>
      </w:r>
      <w:r w:rsidRPr="00172D09">
        <w:rPr>
          <w:b/>
          <w:u w:val="single"/>
        </w:rPr>
        <w:t>may occur in</w:t>
      </w:r>
      <w:r w:rsidRPr="00172D09">
        <w:rPr>
          <w:color w:val="A6A6A6" w:themeColor="background1" w:themeShade="A6"/>
          <w:sz w:val="12"/>
        </w:rPr>
        <w:t xml:space="preserve"> the </w:t>
      </w:r>
      <w:r w:rsidRPr="00172D09">
        <w:rPr>
          <w:b/>
          <w:u w:val="single"/>
        </w:rPr>
        <w:t>Taiwan</w:t>
      </w:r>
      <w:r w:rsidRPr="00172D09">
        <w:rPr>
          <w:color w:val="A6A6A6" w:themeColor="background1" w:themeShade="A6"/>
          <w:sz w:val="12"/>
        </w:rPr>
        <w:t xml:space="preserve"> Strait, </w:t>
      </w:r>
      <w:r w:rsidRPr="00172D09">
        <w:rPr>
          <w:b/>
          <w:u w:val="single"/>
        </w:rPr>
        <w:t>the Spratlys,</w:t>
      </w:r>
      <w:r w:rsidRPr="00172D09">
        <w:rPr>
          <w:color w:val="A6A6A6" w:themeColor="background1" w:themeShade="A6"/>
          <w:sz w:val="12"/>
        </w:rPr>
        <w:t xml:space="preserve"> the</w:t>
      </w:r>
      <w:r w:rsidRPr="00172D09">
        <w:rPr>
          <w:b/>
          <w:u w:val="single"/>
        </w:rPr>
        <w:t xml:space="preserve"> India</w:t>
      </w:r>
      <w:r w:rsidRPr="00172D09">
        <w:rPr>
          <w:color w:val="A6A6A6" w:themeColor="background1" w:themeShade="A6"/>
          <w:sz w:val="12"/>
        </w:rPr>
        <w:t xml:space="preserve">n subcontinent, </w:t>
      </w:r>
      <w:r w:rsidRPr="00172D09">
        <w:rPr>
          <w:b/>
          <w:u w:val="single"/>
        </w:rPr>
        <w:t>or</w:t>
      </w:r>
      <w:r w:rsidRPr="00172D09">
        <w:rPr>
          <w:color w:val="A6A6A6" w:themeColor="background1" w:themeShade="A6"/>
          <w:sz w:val="12"/>
        </w:rPr>
        <w:t xml:space="preserve"> on the </w:t>
      </w:r>
      <w:r w:rsidRPr="00172D09">
        <w:rPr>
          <w:b/>
          <w:u w:val="single"/>
        </w:rPr>
        <w:t>Korea</w:t>
      </w:r>
      <w:r w:rsidRPr="00172D09">
        <w:rPr>
          <w:color w:val="A6A6A6" w:themeColor="background1" w:themeShade="A6"/>
          <w:sz w:val="12"/>
        </w:rPr>
        <w:t xml:space="preserve">n peninsula. The third involves cases of prolonged </w:t>
      </w:r>
      <w:r w:rsidRPr="00172D09">
        <w:rPr>
          <w:b/>
          <w:u w:val="single"/>
        </w:rPr>
        <w:t>domestic instability</w:t>
      </w:r>
      <w:r w:rsidRPr="00172D09">
        <w:rPr>
          <w:color w:val="A6A6A6" w:themeColor="background1" w:themeShade="A6"/>
          <w:sz w:val="12"/>
        </w:rPr>
        <w:t xml:space="preserve"> that </w:t>
      </w:r>
      <w:r w:rsidRPr="00172D09">
        <w:rPr>
          <w:b/>
          <w:u w:val="single"/>
        </w:rPr>
        <w:t>may</w:t>
      </w:r>
      <w:r w:rsidRPr="00172D09">
        <w:rPr>
          <w:color w:val="A6A6A6" w:themeColor="background1" w:themeShade="A6"/>
          <w:sz w:val="12"/>
        </w:rPr>
        <w:t xml:space="preserve"> have either </w:t>
      </w:r>
      <w:r w:rsidRPr="00172D09">
        <w:rPr>
          <w:b/>
          <w:u w:val="single"/>
        </w:rPr>
        <w:t>spillover</w:t>
      </w:r>
      <w:r w:rsidRPr="00FA3EE6">
        <w:rPr>
          <w:color w:val="A6A6A6" w:themeColor="background1" w:themeShade="A6"/>
          <w:sz w:val="12"/>
        </w:rPr>
        <w:t xml:space="preserve"> or contagion effects, as </w:t>
      </w:r>
      <w:r w:rsidRPr="00172D09">
        <w:rPr>
          <w:b/>
          <w:u w:val="single"/>
        </w:rPr>
        <w:t>in China, Indonesia, Myanmar, or North Korea.</w:t>
      </w:r>
      <w:r w:rsidRPr="00FA3EE6">
        <w:rPr>
          <w:color w:val="A6A6A6" w:themeColor="background1" w:themeShade="A6"/>
          <w:sz w:val="12"/>
        </w:rPr>
        <w:t xml:space="preserve"> In each of these cases, U.S. responses may vary from simply being a concerned onlooker to prosecuting the whole range of military operations to providing post-conflict assistance in a permissive environment. Depending on the political choices made, Air Force contributions would obviously vary. If the first response is selected, contributions would consist predominantly of vital, specialized, airbreathing platforms such as AWACS, JSTARS, and Rivet Joint—in tandem with controlled space assets—that would be necessary for assessment of political crises erupting in the region. The second response, in contrast, would burden the entire range of U.S. Air Force capabilities, in the manner witnessed in Operation Desert Storm. The third response, like the first, would call for </w:t>
      </w:r>
      <w:r w:rsidRPr="00F412DC">
        <w:rPr>
          <w:color w:val="A6A6A6" w:themeColor="background1" w:themeShade="A6"/>
          <w:sz w:val="12"/>
        </w:rPr>
        <w:t>specialized capabilities, mostly in the areas of strategic lift and airborne tanker support. The third key implication derived from the analysis of trends in Asia suggests that despite increasing regional air capabilities, U.S. Air Force assets will be required to fill gaps in critical warfighting areas. The capabilities of the Asian states, including those of U.S. allies and neutral states, have been steadily increasing in the last two decades. These increases have occurred largely through the acquisition of late-generation, advanced combat aircraft such as the MiG-29, and the F-15, F-16, and F/A-18 together with short-range infrared and medium-range semi-active air-to-air missiles. Despite such acquisitions, however, the states that possess these aircraft have not become truly effective users of air power, in part because acquiring advanced combat aircraft and their associated technologies is a small part of ensuring overall proficiency in the exploitation</w:t>
      </w:r>
      <w:r w:rsidRPr="00FA3EE6">
        <w:rPr>
          <w:color w:val="A6A6A6" w:themeColor="background1" w:themeShade="A6"/>
          <w:sz w:val="12"/>
        </w:rPr>
        <w:t xml:space="preserve"> of air power. The latter includes incorporating effective training regimes, maintaining large and diverse logistics networks, developing an indigenous industrial infrastructure capable of supporting the variegated air assets, and integrating specific subspecialties such as air-to-air refueling, electronic warfare, suppression of enemy air defenses, airspace surveillance and battle management capabilities in a hostile environment, and night and adverse weather operations. Most of the Asian air forces lack full air-power capabilities of the sort described above. The Japanese and South Korean air forces are, as a rule, optimized mostly for air defense operations. Both air forces are generally proficient in all-weather defensive counterair operations, and they possess relatively modest day ground-attack capabilities as well. Because of their specific operating environments, however, the Japanese air force is particularly proficient in maritime air operations, whereas the South Korean air force has some close air support (CAS) experience as well. The Chinese air force (People’s Liberation Army Air Force, [PLAAF]) is still a predominantly daylight defensive counterair force with limited daylight attack capabilities, as are most of the Southeast Asian air forces, but the PLAAF has recently demonstrated an impressive ability to integrate its new weapon systems (e.g., the Su-27) much faster than most observers expected. The air forces of the Indian subcontinent have somewhat greater capabilities. Most squadrons of the Indian and Pakistani air forces are capable of daylight defensive counterair, a few are capable of all-weather defensive counterair, and several Indian units are capable of battlefield air interdiction and deep penetration-interdiction strike. None of these air forces, however, is particularly proficient at night and all-weather ground attack, especially at operational ranges. They lack advanced munitions, especially in the air-to-surface regime. With the exception of Japan and Singapore, they lack battle management command, control and communications (BMC3 ) platforms as well as the logistics and training levels required for successful, extended, high-tempo operations. </w:t>
      </w:r>
      <w:r w:rsidRPr="00172D09">
        <w:rPr>
          <w:b/>
          <w:u w:val="single"/>
        </w:rPr>
        <w:t>The brittle quality of Asian air forces implies that U.S. Air Force</w:t>
      </w:r>
      <w:r w:rsidRPr="00F412DC">
        <w:rPr>
          <w:color w:val="A6A6A6" w:themeColor="background1" w:themeShade="A6"/>
          <w:sz w:val="12"/>
        </w:rPr>
        <w:t xml:space="preserve"> assets </w:t>
      </w:r>
      <w:r w:rsidRPr="00172D09">
        <w:rPr>
          <w:b/>
          <w:u w:val="single"/>
        </w:rPr>
        <w:t>will be required</w:t>
      </w:r>
      <w:r w:rsidRPr="00986F10">
        <w:rPr>
          <w:color w:val="A6A6A6" w:themeColor="background1" w:themeShade="A6"/>
          <w:sz w:val="12"/>
        </w:rPr>
        <w:t xml:space="preserve"> to fill critical gaps in allied air capabilities as well as to counter both the growing capabilities of potential adversaries such as China and the new nontraditional threats emerging in the form of ballistic and cruise missiles, information warfare, WMD, and possibly even the revolution in military affairs. The fourth key implication derived from the analysis of trends in Asia suggests that there will be increasing political constraints on en-route and in-theater access. Problems </w:t>
      </w:r>
      <w:r w:rsidRPr="00941FDA">
        <w:rPr>
          <w:color w:val="A6A6A6" w:themeColor="background1" w:themeShade="A6"/>
          <w:sz w:val="12"/>
        </w:rPr>
        <w:t xml:space="preserve">of basing for en-route and in-theater access will become of concern as the Asian states grow in confidence and capability. For the moment, however, such problems have been held in check because of the continuing threats on the Korean peninsula and recent revitalization of the U.S.-Japanese security treaty. But these developments </w:t>
      </w:r>
      <w:r w:rsidRPr="00395ED2">
        <w:rPr>
          <w:color w:val="A6A6A6" w:themeColor="background1" w:themeShade="A6"/>
          <w:sz w:val="12"/>
        </w:rPr>
        <w:t xml:space="preserve">constitute only a reprieve, not an enduring solution. The availability of the Korean bases after unification is an open question. Even if these and the Japanese bases continue to be available, their use will be increasingly restricted by the host countries for routine training operations and especially for nontraditional out-of-area operations. The recent difficulties caused by the refusal of the Gulf states to permit U.S. air operations against Saddam Hussein will become the norm in the Asia-Pacific region as well. There are already some indicators to this effect. For example, constitutional and legal restraints in the form of Article 9 could prevent Japan from providing access, logistical support, and reinforcements in the context of crises in Asia. There is also relatively weak political support for all but the most narrow range of contingencies, as became evident in Japanese, Korean, and Southeast Asian reluctance to support U.S. gunboat diplomacy during the recent (1995–1996) China-Taiwan face-off. Even the Southeast states, which benefit most from U.S. presence and deterrent capabilities in the region, were conspicuously silent—and in some cases even undercut </w:t>
      </w:r>
      <w:r w:rsidRPr="00F412DC">
        <w:rPr>
          <w:color w:val="A6A6A6" w:themeColor="background1" w:themeShade="A6"/>
          <w:sz w:val="12"/>
        </w:rPr>
        <w:t xml:space="preserve">American efforts at restraining Chinese intimidation of Taiwan. Besides these growing political constraints, the fact remains that in some feasible contingencies the U.S. Air Force will have little or no access whatsoever to some regions in Asia. The absence of air bases in Southeast Asia and the northern Indian Ocean, for example, could threaten the execution of contingency plans involving either South Asia or Myanmar. The vast distances in the Asia-Pacific region could come to haunt Air Force operations, because existing facilities at Diego Garcia and in the Persian Gulf are too far away for any but the most minimal operations. Increasing political constrictions coupled with the sparse number of operating facilities available imply that even such potentially innovative U.S. Air Force solutions as the “air expeditionary force” and “composite air wings” could run into show-stopping impediments beyond U.S. Air Force control. This, in turn, has four consequences. First, American policymakers should investigate the possibility of securing additional air base access in Asia. The most attractive candidate, especially in the context of a rising China, is Cam Ran Bay in Vietnam. Other alternatives, especially for contingencies in the Persian Gulf and the greater South Asian region, could include transit rights in India or Pakistan. Second, U.S. Air Force planners will have to devote relatively greater resources to mobility assets and support platforms such as airborne tankers to keep a smaller combat force capable of long-distance operations. Third, planners must begin to give some thought to novel technologies capable of mitigating the access and staging problem. These technologies can include, at the </w:t>
      </w:r>
      <w:r w:rsidRPr="00986F10">
        <w:rPr>
          <w:color w:val="A6A6A6" w:themeColor="background1" w:themeShade="A6"/>
          <w:sz w:val="12"/>
        </w:rPr>
        <w:t xml:space="preserve">more radical end, floating air bases of the kind proposed by RAND several decades ago, or at the more conservative technical end, more-efficient engines, longer-range aircraft, and the like. Fourth, U.S. Air Force planners must increasingly think in terms of joint operations not merely at the cosmetic level, as in the cruise missile strikes against Iraq, but in terms of a true division of labor, especially in the early stages of a distant </w:t>
      </w:r>
      <w:r w:rsidRPr="00986F10">
        <w:rPr>
          <w:color w:val="A6A6A6" w:themeColor="background1" w:themeShade="A6"/>
          <w:sz w:val="12"/>
        </w:rPr>
        <w:lastRenderedPageBreak/>
        <w:t>contingency. The fifth key implication derived from the</w:t>
      </w:r>
      <w:r w:rsidRPr="00941FDA">
        <w:rPr>
          <w:color w:val="A6A6A6" w:themeColor="background1" w:themeShade="A6"/>
          <w:sz w:val="12"/>
        </w:rPr>
        <w:t xml:space="preserve"> analysis of </w:t>
      </w:r>
      <w:r w:rsidRPr="00172D09">
        <w:rPr>
          <w:b/>
          <w:u w:val="single"/>
        </w:rPr>
        <w:t>trends in Asia suggest</w:t>
      </w:r>
      <w:r w:rsidRPr="00986F10">
        <w:rPr>
          <w:color w:val="A6A6A6" w:themeColor="background1" w:themeShade="A6"/>
          <w:sz w:val="12"/>
        </w:rPr>
        <w:t xml:space="preserve">s </w:t>
      </w:r>
      <w:r w:rsidRPr="00172D09">
        <w:rPr>
          <w:b/>
          <w:u w:val="single"/>
        </w:rPr>
        <w:t>that WMD</w:t>
      </w:r>
      <w:r w:rsidRPr="00941FDA">
        <w:rPr>
          <w:color w:val="A6A6A6" w:themeColor="background1" w:themeShade="A6"/>
          <w:sz w:val="12"/>
        </w:rPr>
        <w:t>-shado</w:t>
      </w:r>
      <w:r w:rsidRPr="00F60BAF">
        <w:rPr>
          <w:color w:val="A6A6A6" w:themeColor="background1" w:themeShade="A6"/>
          <w:sz w:val="12"/>
        </w:rPr>
        <w:t xml:space="preserve">wed environments </w:t>
      </w:r>
      <w:r w:rsidRPr="00172D09">
        <w:rPr>
          <w:b/>
          <w:u w:val="single"/>
        </w:rPr>
        <w:t>will pose new</w:t>
      </w:r>
      <w:r w:rsidRPr="00941FDA">
        <w:rPr>
          <w:color w:val="A6A6A6" w:themeColor="background1" w:themeShade="A6"/>
          <w:sz w:val="12"/>
        </w:rPr>
        <w:t xml:space="preserve"> operational </w:t>
      </w:r>
      <w:r w:rsidRPr="00172D09">
        <w:rPr>
          <w:b/>
          <w:u w:val="single"/>
        </w:rPr>
        <w:t>challenges to air power.</w:t>
      </w:r>
      <w:r w:rsidRPr="00941FDA">
        <w:rPr>
          <w:color w:val="A6A6A6" w:themeColor="background1" w:themeShade="A6"/>
          <w:sz w:val="12"/>
        </w:rPr>
        <w:t xml:space="preserve"> There is little doubt th</w:t>
      </w:r>
      <w:r w:rsidRPr="00F412DC">
        <w:rPr>
          <w:color w:val="A6A6A6" w:themeColor="background1" w:themeShade="A6"/>
          <w:sz w:val="12"/>
        </w:rPr>
        <w:t>at the</w:t>
      </w:r>
      <w:r w:rsidRPr="00986F10">
        <w:rPr>
          <w:color w:val="A6A6A6" w:themeColor="background1" w:themeShade="A6"/>
          <w:sz w:val="12"/>
        </w:rPr>
        <w:t xml:space="preserve"> </w:t>
      </w:r>
      <w:r w:rsidRPr="00172D09">
        <w:rPr>
          <w:b/>
          <w:u w:val="single"/>
        </w:rPr>
        <w:t>number of</w:t>
      </w:r>
      <w:r w:rsidRPr="00F412DC">
        <w:rPr>
          <w:color w:val="A6A6A6" w:themeColor="background1" w:themeShade="A6"/>
          <w:sz w:val="12"/>
        </w:rPr>
        <w:t xml:space="preserve"> states possessing different </w:t>
      </w:r>
      <w:r w:rsidRPr="00941FDA">
        <w:rPr>
          <w:color w:val="A6A6A6" w:themeColor="background1" w:themeShade="A6"/>
          <w:sz w:val="12"/>
        </w:rPr>
        <w:t xml:space="preserve">kinds of </w:t>
      </w:r>
      <w:r w:rsidRPr="00172D09">
        <w:rPr>
          <w:b/>
          <w:u w:val="single"/>
        </w:rPr>
        <w:t>WMD will increase</w:t>
      </w:r>
      <w:r w:rsidRPr="00F412DC">
        <w:rPr>
          <w:color w:val="A6A6A6" w:themeColor="background1" w:themeShade="A6"/>
          <w:sz w:val="12"/>
        </w:rPr>
        <w:t xml:space="preserve"> during the time frames examined in this report. While Russia, China, North Korea, India, and Pakistan are the only nuclear-capable states in </w:t>
      </w:r>
      <w:r w:rsidRPr="00941FDA">
        <w:rPr>
          <w:color w:val="A6A6A6" w:themeColor="background1" w:themeShade="A6"/>
          <w:sz w:val="12"/>
        </w:rPr>
        <w:t xml:space="preserve">Asia at the moment, several other states likely are virtual nuclear powers (Japan, South Korea, and Taiwan), with Iran and Iraq in the wings. All these states are threatened by nuclear capabilities in some form, and many will be able to mount nuclear threats of their own at some point. Although nuclear capabilities concentrate the mind in a way that few other weapons do, </w:t>
      </w:r>
      <w:r w:rsidRPr="00172D09">
        <w:rPr>
          <w:b/>
          <w:u w:val="single"/>
        </w:rPr>
        <w:t>chemical and bio</w:t>
      </w:r>
      <w:r w:rsidRPr="00941FDA">
        <w:rPr>
          <w:color w:val="A6A6A6" w:themeColor="background1" w:themeShade="A6"/>
          <w:sz w:val="12"/>
        </w:rPr>
        <w:t xml:space="preserve">logical </w:t>
      </w:r>
      <w:r w:rsidRPr="00172D09">
        <w:rPr>
          <w:b/>
          <w:u w:val="single"/>
        </w:rPr>
        <w:t>weapon</w:t>
      </w:r>
      <w:r w:rsidRPr="00F412DC">
        <w:rPr>
          <w:color w:val="A6A6A6" w:themeColor="background1" w:themeShade="A6"/>
          <w:sz w:val="12"/>
        </w:rPr>
        <w:t xml:space="preserve">s </w:t>
      </w:r>
      <w:r w:rsidRPr="00941FDA">
        <w:rPr>
          <w:color w:val="A6A6A6" w:themeColor="background1" w:themeShade="A6"/>
          <w:sz w:val="12"/>
        </w:rPr>
        <w:t xml:space="preserve">will also come in to their own, and their </w:t>
      </w:r>
      <w:r w:rsidRPr="00172D09">
        <w:rPr>
          <w:b/>
          <w:u w:val="single"/>
        </w:rPr>
        <w:t>use for</w:t>
      </w:r>
      <w:r w:rsidRPr="00941FDA">
        <w:rPr>
          <w:color w:val="A6A6A6" w:themeColor="background1" w:themeShade="A6"/>
          <w:sz w:val="12"/>
        </w:rPr>
        <w:t xml:space="preserve"> either operations or </w:t>
      </w:r>
      <w:r w:rsidRPr="00172D09">
        <w:rPr>
          <w:b/>
          <w:u w:val="single"/>
        </w:rPr>
        <w:t>terror may be even more probable.</w:t>
      </w:r>
      <w:r w:rsidRPr="00941FDA">
        <w:rPr>
          <w:color w:val="A6A6A6" w:themeColor="background1" w:themeShade="A6"/>
          <w:sz w:val="12"/>
        </w:rPr>
        <w:t xml:space="preserve"> All three forms of WMD, as well as radiological weapons, could be delivered by either ballistic or cruise missiles, advanced combat aircraft, or unconventional means of delivery. These regional operating environments will thus become more complicated over time. In this context, </w:t>
      </w:r>
      <w:r w:rsidRPr="00172D09">
        <w:rPr>
          <w:b/>
          <w:u w:val="single"/>
        </w:rPr>
        <w:t>the</w:t>
      </w:r>
      <w:r w:rsidRPr="00F412DC">
        <w:rPr>
          <w:color w:val="A6A6A6" w:themeColor="background1" w:themeShade="A6"/>
          <w:sz w:val="12"/>
        </w:rPr>
        <w:t xml:space="preserve"> U.S. </w:t>
      </w:r>
      <w:r w:rsidRPr="00172D09">
        <w:rPr>
          <w:b/>
          <w:u w:val="single"/>
        </w:rPr>
        <w:t>Air Force will requir</w:t>
      </w:r>
      <w:r w:rsidRPr="00941FDA">
        <w:rPr>
          <w:b/>
          <w:u w:val="single"/>
        </w:rPr>
        <w:t>e</w:t>
      </w:r>
      <w:r w:rsidRPr="00941FDA">
        <w:rPr>
          <w:color w:val="A6A6A6" w:themeColor="background1" w:themeShade="A6"/>
          <w:sz w:val="12"/>
        </w:rPr>
        <w:t xml:space="preserve"> both </w:t>
      </w:r>
      <w:r w:rsidRPr="00172D09">
        <w:rPr>
          <w:b/>
          <w:u w:val="single"/>
        </w:rPr>
        <w:t>new capabilities</w:t>
      </w:r>
      <w:r w:rsidRPr="00941FDA">
        <w:rPr>
          <w:color w:val="A6A6A6" w:themeColor="background1" w:themeShade="A6"/>
          <w:sz w:val="12"/>
        </w:rPr>
        <w:t xml:space="preserve"> and n</w:t>
      </w:r>
      <w:r w:rsidRPr="00F60BAF">
        <w:rPr>
          <w:color w:val="A6A6A6" w:themeColor="background1" w:themeShade="A6"/>
          <w:sz w:val="12"/>
        </w:rPr>
        <w:t xml:space="preserve">ew concepts of operations for successful combat in such environments. </w:t>
      </w:r>
      <w:r w:rsidRPr="00172D09">
        <w:rPr>
          <w:b/>
          <w:u w:val="single"/>
        </w:rPr>
        <w:t>These</w:t>
      </w:r>
      <w:r w:rsidRPr="00941FDA">
        <w:rPr>
          <w:color w:val="A6A6A6" w:themeColor="background1" w:themeShade="A6"/>
          <w:sz w:val="12"/>
        </w:rPr>
        <w:t xml:space="preserve"> new capabilities </w:t>
      </w:r>
      <w:r w:rsidRPr="00172D09">
        <w:rPr>
          <w:b/>
          <w:u w:val="single"/>
        </w:rPr>
        <w:t>include</w:t>
      </w:r>
      <w:r w:rsidRPr="00941FDA">
        <w:rPr>
          <w:color w:val="A6A6A6" w:themeColor="background1" w:themeShade="A6"/>
          <w:sz w:val="12"/>
        </w:rPr>
        <w:t xml:space="preserve"> better means of </w:t>
      </w:r>
      <w:r w:rsidRPr="00172D09">
        <w:rPr>
          <w:b/>
          <w:u w:val="single"/>
        </w:rPr>
        <w:t>localizing WMD</w:t>
      </w:r>
      <w:r w:rsidRPr="00941FDA">
        <w:rPr>
          <w:color w:val="A6A6A6" w:themeColor="background1" w:themeShade="A6"/>
          <w:sz w:val="12"/>
        </w:rPr>
        <w:t xml:space="preserve"> holdings </w:t>
      </w:r>
      <w:r w:rsidRPr="00172D09">
        <w:rPr>
          <w:b/>
          <w:u w:val="single"/>
        </w:rPr>
        <w:t>at long range;</w:t>
      </w:r>
      <w:r w:rsidRPr="00941FDA">
        <w:rPr>
          <w:color w:val="A6A6A6" w:themeColor="background1" w:themeShade="A6"/>
          <w:sz w:val="12"/>
        </w:rPr>
        <w:t xml:space="preserve"> better means of </w:t>
      </w:r>
      <w:r w:rsidRPr="00172D09">
        <w:rPr>
          <w:b/>
          <w:u w:val="single"/>
        </w:rPr>
        <w:t>interdicting storage facilities</w:t>
      </w:r>
      <w:r w:rsidRPr="00941FDA">
        <w:rPr>
          <w:color w:val="A6A6A6" w:themeColor="background1" w:themeShade="A6"/>
          <w:sz w:val="12"/>
        </w:rPr>
        <w:t xml:space="preserve">, especially those relying on depth or dispersal for survival; </w:t>
      </w:r>
      <w:r w:rsidRPr="00172D09">
        <w:rPr>
          <w:b/>
          <w:u w:val="single"/>
        </w:rPr>
        <w:t>and</w:t>
      </w:r>
      <w:r w:rsidRPr="00941FDA">
        <w:rPr>
          <w:color w:val="A6A6A6" w:themeColor="background1" w:themeShade="A6"/>
          <w:sz w:val="12"/>
        </w:rPr>
        <w:t xml:space="preserve"> better means of effectively </w:t>
      </w:r>
      <w:r w:rsidRPr="00172D09">
        <w:rPr>
          <w:b/>
          <w:u w:val="single"/>
        </w:rPr>
        <w:t>intercepting WMD carriers</w:t>
      </w:r>
      <w:r w:rsidRPr="00941FDA">
        <w:rPr>
          <w:color w:val="A6A6A6" w:themeColor="background1" w:themeShade="A6"/>
          <w:sz w:val="12"/>
        </w:rPr>
        <w:t xml:space="preserve"> if their prelaunch destruction is not possible. New concepts of operations involve devising and using better ways to continue combat operations amidst a WMD environment, new forms of warfare including information warfare to s</w:t>
      </w:r>
      <w:r w:rsidR="00941FDA" w:rsidRPr="00941FDA">
        <w:rPr>
          <w:color w:val="A6A6A6" w:themeColor="background1" w:themeShade="A6"/>
          <w:sz w:val="12"/>
        </w:rPr>
        <w:t>ubvert an adversary’s combat ca</w:t>
      </w:r>
      <w:r w:rsidRPr="00941FDA">
        <w:rPr>
          <w:color w:val="A6A6A6" w:themeColor="background1" w:themeShade="A6"/>
          <w:sz w:val="12"/>
        </w:rPr>
        <w:t>pability rather than physically destroying it, and, finally, new “nonlethal” weapons to attain results previously attainable by lethal means alone.</w:t>
      </w:r>
      <w:r w:rsidRPr="00172D09">
        <w:rPr>
          <w:b/>
          <w:u w:val="single"/>
        </w:rPr>
        <w:t xml:space="preserve"> </w:t>
      </w:r>
    </w:p>
    <w:p w:rsidR="00CE4A2D" w:rsidRDefault="00CE4A2D" w:rsidP="00CE4A2D"/>
    <w:p w:rsidR="00234497" w:rsidRPr="00261704" w:rsidRDefault="00234497" w:rsidP="00261704">
      <w:r w:rsidRPr="00261704">
        <w:t>Advantage 3 is Prison Violence</w:t>
      </w:r>
    </w:p>
    <w:p w:rsidR="00234497" w:rsidRDefault="00234497" w:rsidP="00CE4A2D"/>
    <w:p w:rsidR="00234497" w:rsidRPr="00E405FD" w:rsidRDefault="00234497" w:rsidP="00261704">
      <w:r w:rsidRPr="00261704">
        <w:t>Pell Grants solve prison violence.</w:t>
      </w:r>
      <w:r w:rsidR="00261704">
        <w:t xml:space="preserve"> </w:t>
      </w:r>
      <w:r>
        <w:rPr>
          <w:b/>
          <w:u w:val="single"/>
        </w:rPr>
        <w:t>Page 4</w:t>
      </w:r>
      <w:r>
        <w:t xml:space="preserve"> writes</w:t>
      </w:r>
      <w:r>
        <w:rPr>
          <w:rStyle w:val="FootnoteReference"/>
        </w:rPr>
        <w:footnoteReference w:id="9"/>
      </w:r>
    </w:p>
    <w:p w:rsidR="00234497" w:rsidRDefault="00234497" w:rsidP="00234497">
      <w:pPr>
        <w:ind w:right="-1"/>
      </w:pPr>
    </w:p>
    <w:p w:rsidR="00234497" w:rsidRDefault="00234497" w:rsidP="00234497">
      <w:pPr>
        <w:pBdr>
          <w:top w:val="single" w:sz="4" w:space="1" w:color="auto"/>
          <w:left w:val="single" w:sz="4" w:space="4" w:color="auto"/>
          <w:bottom w:val="single" w:sz="4" w:space="1" w:color="auto"/>
          <w:right w:val="single" w:sz="4" w:space="4" w:color="auto"/>
        </w:pBdr>
        <w:ind w:right="-1"/>
      </w:pPr>
      <w:r w:rsidRPr="00A45481">
        <w:rPr>
          <w:color w:val="A6A6A6" w:themeColor="background1" w:themeShade="A6"/>
          <w:sz w:val="12"/>
        </w:rPr>
        <w:t xml:space="preserve">PSCE [postsecondary correctional </w:t>
      </w:r>
      <w:r>
        <w:rPr>
          <w:b/>
          <w:u w:val="single"/>
        </w:rPr>
        <w:t>education</w:t>
      </w:r>
      <w:r w:rsidRPr="00A45481">
        <w:rPr>
          <w:color w:val="A6A6A6" w:themeColor="background1" w:themeShade="A6"/>
          <w:sz w:val="12"/>
        </w:rPr>
        <w:t xml:space="preserve">] </w:t>
      </w:r>
      <w:r w:rsidRPr="00A45481">
        <w:rPr>
          <w:b/>
          <w:u w:val="single"/>
        </w:rPr>
        <w:t>programs help prison workers maintain carceral order.</w:t>
      </w:r>
      <w:r w:rsidRPr="00A45481">
        <w:rPr>
          <w:color w:val="A6A6A6" w:themeColor="background1" w:themeShade="A6"/>
          <w:sz w:val="12"/>
        </w:rPr>
        <w:t xml:space="preserve"> In </w:t>
      </w:r>
      <w:r w:rsidRPr="00A45481">
        <w:rPr>
          <w:b/>
          <w:u w:val="single"/>
        </w:rPr>
        <w:t>a</w:t>
      </w:r>
      <w:r w:rsidRPr="00A45481">
        <w:rPr>
          <w:color w:val="A6A6A6" w:themeColor="background1" w:themeShade="A6"/>
          <w:sz w:val="12"/>
        </w:rPr>
        <w:t xml:space="preserve"> 1974 </w:t>
      </w:r>
      <w:r w:rsidRPr="00A45481">
        <w:rPr>
          <w:b/>
          <w:u w:val="single"/>
        </w:rPr>
        <w:t>study</w:t>
      </w:r>
      <w:r w:rsidRPr="00A45481">
        <w:rPr>
          <w:color w:val="A6A6A6" w:themeColor="background1" w:themeShade="A6"/>
          <w:sz w:val="12"/>
        </w:rPr>
        <w:t xml:space="preserve"> of a PSCE program in a maximum-security prison, Alfred Blumstein found that the program ‘improves institutional climate’ and made the prisoner-students ‘more manageable residents’ (quoted in Duguid, 1987: 23). PSCE programs, like all ‘meaningful program opportunities available to prisoners’, are good ‘institutional management tools’ (DiIulio, 1991: 114), for </w:t>
      </w:r>
      <w:r w:rsidRPr="00A45481">
        <w:rPr>
          <w:b/>
          <w:u w:val="single"/>
        </w:rPr>
        <w:t>they keep prisoners busy; they are</w:t>
      </w:r>
      <w:r>
        <w:rPr>
          <w:b/>
          <w:u w:val="single"/>
        </w:rPr>
        <w:t xml:space="preserve"> </w:t>
      </w:r>
      <w:r w:rsidRPr="00A45481">
        <w:rPr>
          <w:b/>
          <w:u w:val="single"/>
        </w:rPr>
        <w:t>‘carrots’ that can be taken away if prisoners act up; and they help prisoners develop</w:t>
      </w:r>
      <w:r>
        <w:rPr>
          <w:b/>
          <w:u w:val="single"/>
        </w:rPr>
        <w:t xml:space="preserve"> </w:t>
      </w:r>
      <w:r w:rsidRPr="00A45481">
        <w:rPr>
          <w:b/>
          <w:u w:val="single"/>
        </w:rPr>
        <w:t>pro-social,</w:t>
      </w:r>
      <w:r w:rsidRPr="00A45481">
        <w:rPr>
          <w:color w:val="A6A6A6" w:themeColor="background1" w:themeShade="A6"/>
          <w:sz w:val="12"/>
        </w:rPr>
        <w:t xml:space="preserve"> non-violent and </w:t>
      </w:r>
      <w:r w:rsidRPr="00A45481">
        <w:rPr>
          <w:b/>
          <w:u w:val="single"/>
        </w:rPr>
        <w:t>non-criminal identities, making them less likely to</w:t>
      </w:r>
      <w:r>
        <w:rPr>
          <w:b/>
          <w:u w:val="single"/>
        </w:rPr>
        <w:t xml:space="preserve"> </w:t>
      </w:r>
      <w:r w:rsidRPr="00A45481">
        <w:rPr>
          <w:b/>
          <w:u w:val="single"/>
        </w:rPr>
        <w:t>resort to physical confrontation</w:t>
      </w:r>
      <w:r w:rsidRPr="00A45481">
        <w:rPr>
          <w:color w:val="A6A6A6" w:themeColor="background1" w:themeShade="A6"/>
          <w:sz w:val="12"/>
        </w:rPr>
        <w:t xml:space="preserve"> to solve problems (Taylor, 1993). </w:t>
      </w:r>
    </w:p>
    <w:p w:rsidR="00234497" w:rsidRPr="00543332" w:rsidRDefault="00234497" w:rsidP="00234497">
      <w:pPr>
        <w:ind w:right="-1"/>
      </w:pPr>
    </w:p>
    <w:p w:rsidR="00234497" w:rsidRPr="00261704" w:rsidRDefault="00234497" w:rsidP="00261704"/>
    <w:p w:rsidR="00234497" w:rsidRPr="00307099" w:rsidRDefault="00234497" w:rsidP="00261704">
      <w:pPr>
        <w:rPr>
          <w:color w:val="A6A6A6" w:themeColor="background1" w:themeShade="A6"/>
          <w:sz w:val="12"/>
        </w:rPr>
      </w:pPr>
      <w:r w:rsidRPr="00261704">
        <w:t>Prison violence leads to AIDS spread in prisons.</w:t>
      </w:r>
      <w:r>
        <w:t xml:space="preserve"> </w:t>
      </w:r>
      <w:r>
        <w:rPr>
          <w:b/>
          <w:u w:val="single"/>
        </w:rPr>
        <w:t>Shah 05</w:t>
      </w:r>
      <w:r w:rsidRPr="00307099">
        <w:rPr>
          <w:rStyle w:val="FootnoteReference"/>
        </w:rPr>
        <w:footnoteReference w:id="10"/>
      </w:r>
    </w:p>
    <w:p w:rsidR="00234497" w:rsidRPr="00307099" w:rsidRDefault="00234497" w:rsidP="00234497">
      <w:pPr>
        <w:pBdr>
          <w:top w:val="single" w:sz="4" w:space="1" w:color="auto"/>
          <w:left w:val="single" w:sz="4" w:space="4" w:color="auto"/>
          <w:bottom w:val="single" w:sz="4" w:space="1" w:color="auto"/>
          <w:right w:val="single" w:sz="4" w:space="4" w:color="auto"/>
        </w:pBdr>
        <w:rPr>
          <w:b/>
          <w:u w:val="single"/>
        </w:rPr>
      </w:pPr>
      <w:r w:rsidRPr="00307099">
        <w:rPr>
          <w:color w:val="A6A6A6" w:themeColor="background1" w:themeShade="A6"/>
          <w:sz w:val="12"/>
        </w:rPr>
        <w:t xml:space="preserve">Prisons are hostile </w:t>
      </w:r>
      <w:r w:rsidRPr="00917FCE">
        <w:rPr>
          <w:color w:val="A6A6A6" w:themeColor="background1" w:themeShade="A6"/>
          <w:sz w:val="12"/>
        </w:rPr>
        <w:t>environments. Assaults among prisoners</w:t>
      </w:r>
      <w:r w:rsidRPr="00307099">
        <w:rPr>
          <w:color w:val="A6A6A6" w:themeColor="background1" w:themeShade="A6"/>
          <w:sz w:val="12"/>
        </w:rPr>
        <w:t xml:space="preserve">, </w:t>
      </w:r>
      <w:r w:rsidRPr="00307099">
        <w:rPr>
          <w:b/>
          <w:u w:val="single"/>
        </w:rPr>
        <w:t xml:space="preserve">violence between prisoners </w:t>
      </w:r>
      <w:r w:rsidRPr="00307099">
        <w:rPr>
          <w:color w:val="A6A6A6" w:themeColor="background1" w:themeShade="A6"/>
          <w:sz w:val="12"/>
        </w:rPr>
        <w:t xml:space="preserve">and prison officers, suicide, self-mutilation, and open syringes and needles containing blood as a result of drug usage are all occurrences in prison environments. Such actions </w:t>
      </w:r>
      <w:r w:rsidRPr="00307099">
        <w:rPr>
          <w:b/>
          <w:u w:val="single"/>
        </w:rPr>
        <w:t>expedite</w:t>
      </w:r>
      <w:r w:rsidRPr="00917FCE">
        <w:rPr>
          <w:color w:val="A6A6A6" w:themeColor="background1" w:themeShade="A6"/>
          <w:sz w:val="12"/>
        </w:rPr>
        <w:t xml:space="preserve"> </w:t>
      </w:r>
      <w:r w:rsidRPr="00307099">
        <w:rPr>
          <w:color w:val="A6A6A6" w:themeColor="background1" w:themeShade="A6"/>
          <w:sz w:val="12"/>
        </w:rPr>
        <w:t xml:space="preserve">the </w:t>
      </w:r>
      <w:r w:rsidRPr="00307099">
        <w:rPr>
          <w:b/>
          <w:u w:val="single"/>
        </w:rPr>
        <w:t>transmission of</w:t>
      </w:r>
      <w:r w:rsidRPr="00307099">
        <w:rPr>
          <w:color w:val="A6A6A6" w:themeColor="background1" w:themeShade="A6"/>
          <w:sz w:val="12"/>
        </w:rPr>
        <w:t xml:space="preserve"> communicable </w:t>
      </w:r>
      <w:r w:rsidRPr="00307099">
        <w:rPr>
          <w:b/>
          <w:u w:val="single"/>
        </w:rPr>
        <w:t>disease</w:t>
      </w:r>
      <w:r w:rsidRPr="00307099">
        <w:rPr>
          <w:color w:val="A6A6A6" w:themeColor="background1" w:themeShade="A6"/>
          <w:sz w:val="12"/>
        </w:rPr>
        <w:t>s</w:t>
      </w:r>
      <w:r w:rsidRPr="00307099">
        <w:rPr>
          <w:b/>
          <w:u w:val="single"/>
        </w:rPr>
        <w:t>.</w:t>
      </w:r>
      <w:r w:rsidRPr="00917FCE">
        <w:rPr>
          <w:color w:val="A6A6A6" w:themeColor="background1" w:themeShade="A6"/>
          <w:sz w:val="12"/>
        </w:rPr>
        <w:t xml:space="preserve"> </w:t>
      </w:r>
      <w:r w:rsidRPr="00307099">
        <w:rPr>
          <w:color w:val="A6A6A6" w:themeColor="background1" w:themeShade="A6"/>
          <w:sz w:val="12"/>
        </w:rPr>
        <w:t xml:space="preserve">In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C025CE">
        <w:rPr>
          <w:b/>
          <w:u w:val="single"/>
        </w:rPr>
        <w:t>Protective</w:t>
      </w:r>
      <w:r w:rsidRPr="00C025CE">
        <w:rPr>
          <w:color w:val="A6A6A6" w:themeColor="background1" w:themeShade="A6"/>
          <w:sz w:val="12"/>
        </w:rPr>
        <w:t xml:space="preserve"> eyewear, aprons, tongs or </w:t>
      </w:r>
      <w:r w:rsidRPr="00917FCE">
        <w:rPr>
          <w:color w:val="A6A6A6" w:themeColor="background1" w:themeShade="A6"/>
          <w:sz w:val="12"/>
        </w:rPr>
        <w:t>forceps, and disinfectant solution</w:t>
      </w:r>
      <w:r w:rsidRPr="00C025CE">
        <w:rPr>
          <w:color w:val="A6A6A6" w:themeColor="background1" w:themeShade="A6"/>
          <w:sz w:val="12"/>
        </w:rPr>
        <w:t xml:space="preserve"> are all additional measures that should seriously limit disease-causing contact with prisoners and thereby reduce disease spread [2]. Unfortunately, such preventive </w:t>
      </w:r>
      <w:r w:rsidRPr="00C025CE">
        <w:rPr>
          <w:b/>
          <w:u w:val="single"/>
        </w:rPr>
        <w:t>measures are costly</w:t>
      </w:r>
      <w:r w:rsidRPr="00917FCE">
        <w:rPr>
          <w:color w:val="A6A6A6" w:themeColor="background1" w:themeShade="A6"/>
          <w:sz w:val="12"/>
        </w:rPr>
        <w:t xml:space="preserve"> and considered impractical at the current time, leaving prisons mostly only able to screen inmates for health problems. Meanwhile, involuntary actions such as the </w:t>
      </w:r>
      <w:r w:rsidRPr="00307099">
        <w:rPr>
          <w:b/>
          <w:u w:val="single"/>
        </w:rPr>
        <w:t xml:space="preserve">increasing </w:t>
      </w:r>
      <w:r w:rsidRPr="00307099">
        <w:rPr>
          <w:color w:val="A6A6A6" w:themeColor="background1" w:themeShade="A6"/>
          <w:sz w:val="12"/>
        </w:rPr>
        <w:t>numbers of</w:t>
      </w:r>
      <w:r w:rsidRPr="00917FCE">
        <w:rPr>
          <w:color w:val="A6A6A6" w:themeColor="background1" w:themeShade="A6"/>
          <w:sz w:val="12"/>
        </w:rPr>
        <w:t xml:space="preserve"> </w:t>
      </w:r>
      <w:r w:rsidRPr="00307099">
        <w:rPr>
          <w:b/>
          <w:u w:val="single"/>
        </w:rPr>
        <w:t>rapes</w:t>
      </w:r>
      <w:r w:rsidRPr="00917FCE">
        <w:rPr>
          <w:color w:val="A6A6A6" w:themeColor="background1" w:themeShade="A6"/>
          <w:sz w:val="12"/>
        </w:rPr>
        <w:t xml:space="preserve"> in prisons are </w:t>
      </w:r>
      <w:r w:rsidRPr="00307099">
        <w:rPr>
          <w:b/>
          <w:u w:val="single"/>
        </w:rPr>
        <w:t>fuel</w:t>
      </w:r>
      <w:r w:rsidRPr="00307099">
        <w:rPr>
          <w:color w:val="A6A6A6" w:themeColor="background1" w:themeShade="A6"/>
          <w:sz w:val="12"/>
        </w:rPr>
        <w:t>ing</w:t>
      </w:r>
      <w:r w:rsidRPr="00917FCE">
        <w:rPr>
          <w:color w:val="A6A6A6" w:themeColor="background1" w:themeShade="A6"/>
          <w:sz w:val="12"/>
        </w:rPr>
        <w:t xml:space="preserve"> </w:t>
      </w:r>
      <w:r w:rsidRPr="00C025CE">
        <w:rPr>
          <w:b/>
          <w:u w:val="single"/>
        </w:rPr>
        <w:t>disease spread</w:t>
      </w:r>
      <w:r w:rsidRPr="00C025CE">
        <w:rPr>
          <w:color w:val="A6A6A6" w:themeColor="background1" w:themeShade="A6"/>
          <w:sz w:val="12"/>
        </w:rPr>
        <w:t xml:space="preserve"> as well. According</w:t>
      </w:r>
      <w:r w:rsidRPr="00307099">
        <w:rPr>
          <w:color w:val="A6A6A6" w:themeColor="background1" w:themeShade="A6"/>
          <w:sz w:val="12"/>
        </w:rPr>
        <w:t xml:space="preserve"> to Laura Stemple,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the NIAID, </w:t>
      </w:r>
      <w:r w:rsidRPr="00307099">
        <w:rPr>
          <w:b/>
          <w:u w:val="single"/>
        </w:rPr>
        <w:t>the rate of</w:t>
      </w:r>
      <w:r w:rsidRPr="00917FCE">
        <w:rPr>
          <w:color w:val="A6A6A6" w:themeColor="background1" w:themeShade="A6"/>
          <w:sz w:val="12"/>
        </w:rPr>
        <w:t xml:space="preserve"> </w:t>
      </w:r>
      <w:r w:rsidRPr="00307099">
        <w:rPr>
          <w:color w:val="A6A6A6" w:themeColor="background1" w:themeShade="A6"/>
          <w:sz w:val="12"/>
        </w:rPr>
        <w:t>HIV/</w:t>
      </w:r>
      <w:r w:rsidRPr="00307099">
        <w:rPr>
          <w:b/>
          <w:u w:val="single"/>
        </w:rPr>
        <w:t>AIDS</w:t>
      </w:r>
      <w:r w:rsidRPr="00917FCE">
        <w:rPr>
          <w:color w:val="A6A6A6" w:themeColor="background1" w:themeShade="A6"/>
          <w:sz w:val="12"/>
        </w:rPr>
        <w:t xml:space="preserve"> infections </w:t>
      </w:r>
      <w:r w:rsidRPr="00307099">
        <w:rPr>
          <w:b/>
          <w:u w:val="single"/>
        </w:rPr>
        <w:t>has been</w:t>
      </w:r>
      <w:r w:rsidRPr="00307099">
        <w:rPr>
          <w:color w:val="A6A6A6" w:themeColor="background1" w:themeShade="A6"/>
          <w:sz w:val="12"/>
        </w:rPr>
        <w:t xml:space="preserve"> continuously</w:t>
      </w:r>
      <w:r w:rsidRPr="00307099">
        <w:rPr>
          <w:b/>
          <w:u w:val="single"/>
        </w:rPr>
        <w:t xml:space="preserve"> increasing </w:t>
      </w:r>
      <w:r w:rsidRPr="00307099">
        <w:rPr>
          <w:color w:val="A6A6A6" w:themeColor="background1" w:themeShade="A6"/>
          <w:sz w:val="12"/>
        </w:rPr>
        <w:t>despite increased efforts taken by the government and activist groups to control the HIV/AIDS spread. Shockingly, the rate</w:t>
      </w:r>
      <w:r w:rsidRPr="00917FCE">
        <w:rPr>
          <w:color w:val="A6A6A6" w:themeColor="background1" w:themeShade="A6"/>
          <w:sz w:val="12"/>
        </w:rPr>
        <w:t xml:space="preserve"> of HIV/</w:t>
      </w:r>
      <w:r w:rsidRPr="00307099">
        <w:rPr>
          <w:b/>
          <w:u w:val="single"/>
        </w:rPr>
        <w:t xml:space="preserve">AIDS spread is five to ten times higher in prisons </w:t>
      </w:r>
      <w:r w:rsidRPr="00307099">
        <w:rPr>
          <w:color w:val="A6A6A6" w:themeColor="background1" w:themeShade="A6"/>
          <w:sz w:val="12"/>
        </w:rPr>
        <w:t xml:space="preserve">than that in the general population according one study by the U.S Department of Justice [5]. </w:t>
      </w:r>
      <w:r w:rsidRPr="00307099">
        <w:rPr>
          <w:b/>
          <w:u w:val="single"/>
        </w:rPr>
        <w:t>When</w:t>
      </w:r>
      <w:r w:rsidRPr="00307099">
        <w:rPr>
          <w:color w:val="A6A6A6" w:themeColor="background1" w:themeShade="A6"/>
          <w:sz w:val="12"/>
        </w:rPr>
        <w:t xml:space="preserve"> prison </w:t>
      </w:r>
      <w:r w:rsidRPr="00307099">
        <w:rPr>
          <w:b/>
          <w:u w:val="single"/>
        </w:rPr>
        <w:t>inmates are released</w:t>
      </w:r>
      <w:r w:rsidRPr="00307099">
        <w:rPr>
          <w:color w:val="A6A6A6" w:themeColor="background1" w:themeShade="A6"/>
          <w:sz w:val="12"/>
        </w:rPr>
        <w:t xml:space="preserve"> back into society</w:t>
      </w:r>
      <w:r w:rsidRPr="00307099">
        <w:rPr>
          <w:b/>
          <w:u w:val="single"/>
        </w:rPr>
        <w:t>,</w:t>
      </w:r>
      <w:r w:rsidRPr="00307099">
        <w:rPr>
          <w:color w:val="A6A6A6" w:themeColor="background1" w:themeShade="A6"/>
          <w:sz w:val="12"/>
        </w:rPr>
        <w:t xml:space="preserve"> the</w:t>
      </w:r>
      <w:r w:rsidRPr="00307099">
        <w:rPr>
          <w:b/>
          <w:u w:val="single"/>
        </w:rPr>
        <w:t xml:space="preserve"> chances of</w:t>
      </w:r>
      <w:r w:rsidRPr="00307099">
        <w:rPr>
          <w:color w:val="A6A6A6" w:themeColor="background1" w:themeShade="A6"/>
          <w:sz w:val="12"/>
        </w:rPr>
        <w:t xml:space="preserve"> incidence of HIV/</w:t>
      </w:r>
      <w:r w:rsidRPr="00307099">
        <w:rPr>
          <w:b/>
          <w:u w:val="single"/>
        </w:rPr>
        <w:t>AIDS are dramatically increased. An already deadly</w:t>
      </w:r>
      <w:r w:rsidRPr="00917FCE">
        <w:rPr>
          <w:color w:val="A6A6A6" w:themeColor="background1" w:themeShade="A6"/>
          <w:sz w:val="12"/>
        </w:rPr>
        <w:t xml:space="preserve"> and difficult-to-control </w:t>
      </w:r>
      <w:r w:rsidRPr="00307099">
        <w:rPr>
          <w:b/>
          <w:u w:val="single"/>
        </w:rPr>
        <w:t>disease is becoming more difficult to control.</w:t>
      </w:r>
      <w:r w:rsidRPr="00917FCE">
        <w:rPr>
          <w:color w:val="A6A6A6" w:themeColor="background1" w:themeShade="A6"/>
          <w:sz w:val="12"/>
        </w:rPr>
        <w:t xml:space="preserve"> </w:t>
      </w:r>
      <w:r w:rsidRPr="00307099">
        <w:rPr>
          <w:color w:val="A6A6A6" w:themeColor="background1" w:themeShade="A6"/>
          <w:sz w:val="12"/>
        </w:rPr>
        <w:t xml:space="preserve">Health concerns are not monitored closely enough in prisons. The Prison Rape Reduction Act is a step in the right direction; however, more funding should be allocated to ensure </w:t>
      </w:r>
      <w:r w:rsidRPr="00307099">
        <w:rPr>
          <w:color w:val="A6A6A6" w:themeColor="background1" w:themeShade="A6"/>
          <w:sz w:val="12"/>
        </w:rPr>
        <w:lastRenderedPageBreak/>
        <w:t xml:space="preserve">prisons are safer. After all, those same individuals who are disregarded as </w:t>
      </w:r>
      <w:r w:rsidRPr="00307099">
        <w:rPr>
          <w:b/>
          <w:u w:val="single"/>
        </w:rPr>
        <w:t>prisoners will return to society</w:t>
      </w:r>
      <w:r w:rsidRPr="00307099">
        <w:rPr>
          <w:color w:val="A6A6A6" w:themeColor="background1" w:themeShade="A6"/>
          <w:sz w:val="12"/>
        </w:rPr>
        <w:t xml:space="preserve"> as regular citizens </w:t>
      </w:r>
      <w:r w:rsidRPr="00307099">
        <w:rPr>
          <w:b/>
          <w:u w:val="single"/>
        </w:rPr>
        <w:t>and</w:t>
      </w:r>
      <w:r w:rsidRPr="00307099">
        <w:rPr>
          <w:color w:val="A6A6A6" w:themeColor="background1" w:themeShade="A6"/>
          <w:sz w:val="12"/>
        </w:rPr>
        <w:t xml:space="preserve"> wil</w:t>
      </w:r>
      <w:r w:rsidRPr="00917FCE">
        <w:rPr>
          <w:color w:val="A6A6A6" w:themeColor="background1" w:themeShade="A6"/>
          <w:sz w:val="12"/>
        </w:rPr>
        <w:t xml:space="preserve">l </w:t>
      </w:r>
      <w:r w:rsidRPr="00307099">
        <w:rPr>
          <w:b/>
          <w:u w:val="single"/>
        </w:rPr>
        <w:t>spread</w:t>
      </w:r>
      <w:r w:rsidRPr="00307099">
        <w:rPr>
          <w:color w:val="A6A6A6" w:themeColor="background1" w:themeShade="A6"/>
          <w:sz w:val="12"/>
        </w:rPr>
        <w:t xml:space="preserve"> communicable</w:t>
      </w:r>
      <w:r w:rsidRPr="00917FCE">
        <w:rPr>
          <w:color w:val="A6A6A6" w:themeColor="background1" w:themeShade="A6"/>
          <w:sz w:val="12"/>
        </w:rPr>
        <w:t xml:space="preserve"> </w:t>
      </w:r>
      <w:r w:rsidRPr="00307099">
        <w:rPr>
          <w:b/>
          <w:u w:val="single"/>
        </w:rPr>
        <w:t>disease</w:t>
      </w:r>
      <w:r w:rsidRPr="00307099">
        <w:rPr>
          <w:color w:val="A6A6A6" w:themeColor="background1" w:themeShade="A6"/>
          <w:sz w:val="12"/>
        </w:rPr>
        <w:t>s</w:t>
      </w:r>
      <w:r w:rsidRPr="00307099">
        <w:rPr>
          <w:b/>
          <w:u w:val="single"/>
        </w:rPr>
        <w:t xml:space="preserve">. </w:t>
      </w:r>
    </w:p>
    <w:p w:rsidR="00234497" w:rsidRDefault="00234497" w:rsidP="00234497"/>
    <w:p w:rsidR="00234497" w:rsidRPr="00A4194E" w:rsidRDefault="00234497" w:rsidP="00261704">
      <w:bookmarkStart w:id="1" w:name="_Toc236207110"/>
      <w:r w:rsidRPr="00261704">
        <w:t xml:space="preserve">AIDS causes extinction. </w:t>
      </w:r>
      <w:bookmarkStart w:id="2" w:name="_Toc236207112"/>
      <w:bookmarkStart w:id="3" w:name="_Toc172953306"/>
      <w:bookmarkStart w:id="4" w:name="_Toc172954037"/>
      <w:bookmarkEnd w:id="1"/>
      <w:r w:rsidRPr="00A4194E">
        <w:rPr>
          <w:b/>
          <w:u w:val="single"/>
        </w:rPr>
        <w:t>Lederberg 91</w:t>
      </w:r>
      <w:bookmarkEnd w:id="2"/>
      <w:r w:rsidRPr="00A4194E">
        <w:rPr>
          <w:vertAlign w:val="superscript"/>
        </w:rPr>
        <w:footnoteReference w:id="11"/>
      </w:r>
      <w:bookmarkEnd w:id="3"/>
      <w:bookmarkEnd w:id="4"/>
    </w:p>
    <w:p w:rsidR="00234497" w:rsidRPr="00A4194E" w:rsidRDefault="00234497" w:rsidP="00234497">
      <w:pPr>
        <w:pBdr>
          <w:top w:val="single" w:sz="4" w:space="1" w:color="auto"/>
          <w:left w:val="single" w:sz="4" w:space="4" w:color="auto"/>
          <w:bottom w:val="single" w:sz="4" w:space="1" w:color="auto"/>
          <w:right w:val="single" w:sz="4" w:space="4" w:color="auto"/>
        </w:pBdr>
        <w:rPr>
          <w:b/>
          <w:u w:val="single"/>
        </w:rPr>
      </w:pPr>
      <w:r w:rsidRPr="00A4194E">
        <w:rPr>
          <w:color w:val="A6A6A6" w:themeColor="background1" w:themeShade="A6"/>
          <w:sz w:val="12"/>
        </w:rPr>
        <w:t xml:space="preserve">Will Aids mutate further ? Already known, </w:t>
      </w:r>
      <w:r w:rsidRPr="00A4194E">
        <w:rPr>
          <w:b/>
          <w:u w:val="single"/>
        </w:rPr>
        <w:t>a</w:t>
      </w:r>
      <w:r w:rsidRPr="00A4194E">
        <w:rPr>
          <w:color w:val="A6A6A6" w:themeColor="background1" w:themeShade="A6"/>
          <w:sz w:val="12"/>
        </w:rPr>
        <w:t xml:space="preserve"> vexing</w:t>
      </w:r>
      <w:r w:rsidRPr="00A4194E">
        <w:rPr>
          <w:b/>
          <w:u w:val="single"/>
        </w:rPr>
        <w:t xml:space="preserve"> feature of AIDS is its</w:t>
      </w:r>
      <w:r w:rsidRPr="00A4194E">
        <w:rPr>
          <w:color w:val="A6A6A6" w:themeColor="background1" w:themeShade="A6"/>
          <w:sz w:val="12"/>
        </w:rPr>
        <w:t xml:space="preserve"> antigenic </w:t>
      </w:r>
      <w:r w:rsidRPr="00A4194E">
        <w:rPr>
          <w:b/>
          <w:u w:val="single"/>
        </w:rPr>
        <w:t>variability,</w:t>
      </w:r>
      <w:r w:rsidRPr="00543332">
        <w:rPr>
          <w:color w:val="A6A6A6" w:themeColor="background1" w:themeShade="A6"/>
          <w:sz w:val="12"/>
        </w:rPr>
        <w:t xml:space="preserve"> </w:t>
      </w:r>
      <w:r w:rsidRPr="00A4194E">
        <w:rPr>
          <w:color w:val="A6A6A6" w:themeColor="background1" w:themeShade="A6"/>
          <w:sz w:val="12"/>
        </w:rPr>
        <w:t xml:space="preserve">further </w:t>
      </w:r>
      <w:r w:rsidRPr="00A4194E">
        <w:rPr>
          <w:b/>
          <w:u w:val="single"/>
        </w:rPr>
        <w:t>complicating</w:t>
      </w:r>
      <w:r w:rsidRPr="00543332">
        <w:rPr>
          <w:color w:val="A6A6A6" w:themeColor="background1" w:themeShade="A6"/>
          <w:sz w:val="12"/>
        </w:rPr>
        <w:t xml:space="preserve"> the task of developing </w:t>
      </w:r>
      <w:r w:rsidRPr="00A4194E">
        <w:rPr>
          <w:b/>
          <w:u w:val="single"/>
        </w:rPr>
        <w:t>a vaccine.</w:t>
      </w:r>
      <w:r w:rsidRPr="00543332">
        <w:rPr>
          <w:color w:val="A6A6A6" w:themeColor="background1" w:themeShade="A6"/>
          <w:sz w:val="12"/>
        </w:rPr>
        <w:t xml:space="preserve"> So we know that </w:t>
      </w:r>
      <w:r w:rsidRPr="00A4194E">
        <w:rPr>
          <w:b/>
          <w:u w:val="single"/>
        </w:rPr>
        <w:t>HIV is still evolving.</w:t>
      </w:r>
      <w:r w:rsidRPr="00543332">
        <w:rPr>
          <w:color w:val="A6A6A6" w:themeColor="background1" w:themeShade="A6"/>
          <w:sz w:val="12"/>
        </w:rPr>
        <w:t xml:space="preserve"> Its global spread has meant there is far more HIV on earth today than ever before in history. </w:t>
      </w:r>
      <w:r w:rsidRPr="00A4194E">
        <w:rPr>
          <w:b/>
          <w:u w:val="single"/>
        </w:rPr>
        <w:t>What are the odds of</w:t>
      </w:r>
      <w:r w:rsidRPr="00543332">
        <w:rPr>
          <w:color w:val="A6A6A6" w:themeColor="background1" w:themeShade="A6"/>
          <w:sz w:val="12"/>
        </w:rPr>
        <w:t xml:space="preserve"> its learning the tricks of </w:t>
      </w:r>
      <w:r w:rsidRPr="00A4194E">
        <w:rPr>
          <w:b/>
          <w:u w:val="single"/>
        </w:rPr>
        <w:t>airborne transmission?</w:t>
      </w:r>
      <w:r w:rsidRPr="00543332">
        <w:rPr>
          <w:color w:val="A6A6A6" w:themeColor="background1" w:themeShade="A6"/>
          <w:sz w:val="12"/>
        </w:rPr>
        <w:t xml:space="preserve"> </w:t>
      </w:r>
      <w:r w:rsidRPr="00A4194E">
        <w:rPr>
          <w:color w:val="A6A6A6" w:themeColor="background1" w:themeShade="A6"/>
          <w:sz w:val="12"/>
        </w:rPr>
        <w:t>The short is, “</w:t>
      </w:r>
      <w:r w:rsidRPr="00A4194E">
        <w:rPr>
          <w:b/>
          <w:u w:val="single"/>
        </w:rPr>
        <w:t>No one can be sure.</w:t>
      </w:r>
      <w:r w:rsidRPr="00A4194E">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A4194E">
        <w:rPr>
          <w:b/>
          <w:u w:val="single"/>
        </w:rPr>
        <w:t>However,</w:t>
      </w:r>
      <w:r w:rsidRPr="00543332">
        <w:rPr>
          <w:color w:val="A6A6A6" w:themeColor="background1" w:themeShade="A6"/>
          <w:sz w:val="12"/>
        </w:rPr>
        <w:t xml:space="preserve"> given</w:t>
      </w:r>
      <w:r w:rsidRPr="00A4194E">
        <w:rPr>
          <w:color w:val="A6A6A6" w:themeColor="background1" w:themeShade="A6"/>
          <w:sz w:val="12"/>
        </w:rPr>
        <w:t xml:space="preserve"> its other ugly attributes, </w:t>
      </w:r>
      <w:r w:rsidRPr="00A4194E">
        <w:rPr>
          <w:b/>
          <w:u w:val="single"/>
        </w:rPr>
        <w:t xml:space="preserve">it is hard to imagine a worse threat to humanity than </w:t>
      </w:r>
      <w:r w:rsidRPr="00A4194E">
        <w:rPr>
          <w:color w:val="A6A6A6" w:themeColor="background1" w:themeShade="A6"/>
          <w:sz w:val="12"/>
        </w:rPr>
        <w:t xml:space="preserve">an </w:t>
      </w:r>
      <w:r w:rsidRPr="00A4194E">
        <w:rPr>
          <w:b/>
          <w:u w:val="single"/>
        </w:rPr>
        <w:t>airborne</w:t>
      </w:r>
      <w:r w:rsidRPr="00A4194E">
        <w:rPr>
          <w:color w:val="A6A6A6" w:themeColor="background1" w:themeShade="A6"/>
          <w:sz w:val="12"/>
        </w:rPr>
        <w:t xml:space="preserve"> variant of </w:t>
      </w:r>
      <w:r w:rsidRPr="00A4194E">
        <w:rPr>
          <w:b/>
          <w:u w:val="single"/>
        </w:rPr>
        <w:t xml:space="preserve">AIDS. No rule of nature contradicts such a possibility; </w:t>
      </w:r>
      <w:r w:rsidRPr="00A4194E">
        <w:rPr>
          <w:color w:val="A6A6A6" w:themeColor="background1" w:themeShade="A6"/>
          <w:sz w:val="12"/>
        </w:rPr>
        <w:t xml:space="preserve">the </w:t>
      </w:r>
      <w:r w:rsidRPr="00A4194E">
        <w:rPr>
          <w:b/>
          <w:u w:val="single"/>
        </w:rPr>
        <w:t>prolif</w:t>
      </w:r>
      <w:r w:rsidRPr="00A4194E">
        <w:rPr>
          <w:color w:val="A6A6A6" w:themeColor="background1" w:themeShade="A6"/>
          <w:sz w:val="12"/>
        </w:rPr>
        <w:t xml:space="preserve">eration </w:t>
      </w:r>
      <w:r w:rsidRPr="00A4194E">
        <w:rPr>
          <w:b/>
          <w:u w:val="single"/>
        </w:rPr>
        <w:t xml:space="preserve">of AIDS </w:t>
      </w:r>
      <w:r w:rsidRPr="00A4194E">
        <w:rPr>
          <w:color w:val="A6A6A6" w:themeColor="background1" w:themeShade="A6"/>
          <w:sz w:val="12"/>
        </w:rPr>
        <w:t>cases with secondary pneumonia</w:t>
      </w:r>
      <w:r w:rsidRPr="00A4194E">
        <w:rPr>
          <w:b/>
          <w:u w:val="single"/>
        </w:rPr>
        <w:t xml:space="preserve"> multiplies the odds of such a mutant, as an analogue to</w:t>
      </w:r>
      <w:r w:rsidRPr="00A4194E">
        <w:rPr>
          <w:color w:val="A6A6A6" w:themeColor="background1" w:themeShade="A6"/>
          <w:sz w:val="12"/>
        </w:rPr>
        <w:t xml:space="preserve"> the emergence of </w:t>
      </w:r>
      <w:r w:rsidRPr="00A4194E">
        <w:rPr>
          <w:b/>
          <w:u w:val="single"/>
        </w:rPr>
        <w:t>pneumonic plague.</w:t>
      </w:r>
    </w:p>
    <w:p w:rsidR="00234497" w:rsidRPr="00A4194E" w:rsidRDefault="00234497" w:rsidP="00234497">
      <w:pPr>
        <w:rPr>
          <w:b/>
          <w:u w:val="single"/>
        </w:rPr>
      </w:pPr>
    </w:p>
    <w:p w:rsidR="00234497" w:rsidRDefault="00234497" w:rsidP="00CE4A2D"/>
    <w:p w:rsidR="00EB604C" w:rsidRPr="00261704" w:rsidRDefault="00234497" w:rsidP="00261704">
      <w:r w:rsidRPr="00261704">
        <w:t>Advantage 4</w:t>
      </w:r>
      <w:r w:rsidR="00EB604C" w:rsidRPr="00261704">
        <w:t xml:space="preserve"> is R&amp;D</w:t>
      </w:r>
    </w:p>
    <w:p w:rsidR="000857DA" w:rsidRDefault="000857DA" w:rsidP="000857DA"/>
    <w:p w:rsidR="00261704" w:rsidRDefault="00EB604C" w:rsidP="00261704">
      <w:r w:rsidRPr="00261704">
        <w:t xml:space="preserve">Funding for university research is declining now due to budget shortfalls. </w:t>
      </w:r>
    </w:p>
    <w:p w:rsidR="00EB604C" w:rsidRPr="00A67C53" w:rsidRDefault="00EB604C" w:rsidP="00261704">
      <w:pPr>
        <w:rPr>
          <w:rFonts w:eastAsia="Calibri" w:cs="Times New Roman"/>
        </w:rPr>
      </w:pPr>
      <w:r w:rsidRPr="00A67C53">
        <w:rPr>
          <w:rFonts w:eastAsia="Calibri" w:cs="Times New Roman"/>
          <w:b/>
          <w:u w:val="single"/>
        </w:rPr>
        <w:t>Matthews 12</w:t>
      </w:r>
      <w:r w:rsidRPr="00A67C53">
        <w:rPr>
          <w:rFonts w:eastAsia="Calibri" w:cs="Times New Roman"/>
          <w:vertAlign w:val="superscript"/>
        </w:rPr>
        <w:footnoteReference w:id="12"/>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Historically, </w:t>
      </w:r>
      <w:r w:rsidRPr="00A67C53">
        <w:rPr>
          <w:rFonts w:eastAsia="Calibri" w:cs="Times New Roman"/>
          <w:b/>
          <w:u w:val="single"/>
        </w:rPr>
        <w:t>the federal government has been the primary source of funding for basic research at</w:t>
      </w:r>
      <w:r w:rsidRPr="00A67C53">
        <w:rPr>
          <w:rFonts w:eastAsia="Calibri" w:cs="Times New Roman"/>
          <w:color w:val="A6A6A6"/>
          <w:sz w:val="12"/>
        </w:rPr>
        <w:t xml:space="preserve"> colleges and </w:t>
      </w:r>
      <w:r w:rsidRPr="00A67C53">
        <w:rPr>
          <w:rFonts w:eastAsia="Calibri" w:cs="Times New Roman"/>
          <w:b/>
          <w:u w:val="single"/>
        </w:rPr>
        <w:t>universities.</w:t>
      </w:r>
      <w:r w:rsidRPr="00A67C53">
        <w:rPr>
          <w:rFonts w:eastAsia="Calibri" w:cs="Times New Roman"/>
          <w:color w:val="A6A6A6"/>
          <w:sz w:val="12"/>
        </w:rPr>
        <w:t xml:space="preserve"> In FY2008, </w:t>
      </w:r>
      <w:r w:rsidRPr="00A67C53">
        <w:rPr>
          <w:rFonts w:eastAsia="Calibri" w:cs="Times New Roman"/>
          <w:b/>
          <w:u w:val="single"/>
        </w:rPr>
        <w:t>the fed</w:t>
      </w:r>
      <w:r w:rsidRPr="00A67C53">
        <w:rPr>
          <w:rFonts w:eastAsia="Calibri" w:cs="Times New Roman"/>
          <w:color w:val="A6A6A6"/>
          <w:sz w:val="12"/>
        </w:rPr>
        <w:t xml:space="preserve">eral government </w:t>
      </w:r>
      <w:r w:rsidRPr="00A67C53">
        <w:rPr>
          <w:rFonts w:eastAsia="Calibri" w:cs="Times New Roman"/>
          <w:b/>
          <w:u w:val="single"/>
        </w:rPr>
        <w:t>provided</w:t>
      </w:r>
      <w:r w:rsidRPr="00A67C53">
        <w:rPr>
          <w:rFonts w:eastAsia="Calibri" w:cs="Times New Roman"/>
          <w:color w:val="A6A6A6"/>
          <w:sz w:val="12"/>
        </w:rPr>
        <w:t xml:space="preserve"> approximately </w:t>
      </w:r>
      <w:r w:rsidRPr="00A67C53">
        <w:rPr>
          <w:rFonts w:eastAsia="Calibri" w:cs="Times New Roman"/>
          <w:b/>
          <w:u w:val="single"/>
        </w:rPr>
        <w:t>60% of</w:t>
      </w:r>
      <w:r w:rsidRPr="00A67C53">
        <w:rPr>
          <w:rFonts w:eastAsia="Calibri" w:cs="Times New Roman"/>
          <w:color w:val="A6A6A6"/>
          <w:sz w:val="12"/>
        </w:rPr>
        <w:t xml:space="preserve"> an estimated $51.9 billion of </w:t>
      </w:r>
      <w:r w:rsidRPr="00A67C53">
        <w:rPr>
          <w:rFonts w:eastAsia="Calibri" w:cs="Times New Roman"/>
          <w:b/>
          <w:u w:val="single"/>
        </w:rPr>
        <w:t>R&amp;D funds</w:t>
      </w:r>
      <w:r w:rsidRPr="00A67C53">
        <w:rPr>
          <w:rFonts w:eastAsia="Calibri" w:cs="Times New Roman"/>
          <w:color w:val="A6A6A6"/>
          <w:sz w:val="12"/>
        </w:rPr>
        <w:t xml:space="preserve"> expended by academic institutions. 31 In current dollars, federal support for academic research increased by 2.5% between FY2007 and FY2008. When inflation is taken into account, federal funding increased 0.2% from FY2007 to FY2008 following two years of decline in constant dollars since FY2005. 32 Data from the NSF reveal that federal funding of research and development has focused more on basic than applied research, while private sector funding support has focused on development. 33 NSF found that in FY2008,</w:t>
      </w:r>
      <w:r w:rsidRPr="00A67C53">
        <w:rPr>
          <w:rFonts w:eastAsia="Calibri" w:cs="Times New Roman"/>
        </w:rPr>
        <w:t xml:space="preserve"> </w:t>
      </w:r>
      <w:r w:rsidRPr="00A67C53">
        <w:rPr>
          <w:rFonts w:eastAsia="Calibri" w:cs="Times New Roman"/>
          <w:b/>
          <w:u w:val="single"/>
        </w:rPr>
        <w:t>institutions of higher education perform</w:t>
      </w:r>
      <w:r w:rsidRPr="00A67C53">
        <w:rPr>
          <w:rFonts w:eastAsia="Calibri" w:cs="Times New Roman"/>
          <w:color w:val="A6A6A6"/>
          <w:sz w:val="12"/>
        </w:rPr>
        <w:t>ed approximately</w:t>
      </w:r>
      <w:r w:rsidRPr="00A67C53">
        <w:rPr>
          <w:rFonts w:eastAsia="Calibri" w:cs="Times New Roman"/>
        </w:rPr>
        <w:t xml:space="preserve"> </w:t>
      </w:r>
      <w:r w:rsidRPr="00A67C53">
        <w:rPr>
          <w:rFonts w:eastAsia="Calibri" w:cs="Times New Roman"/>
          <w:b/>
          <w:u w:val="single"/>
        </w:rPr>
        <w:t>56% of the nation’s basic research.</w:t>
      </w:r>
      <w:r w:rsidRPr="00A67C53">
        <w:rPr>
          <w:rFonts w:eastAsia="Calibri" w:cs="Times New Roman"/>
        </w:rPr>
        <w:t xml:space="preserve"> </w:t>
      </w:r>
      <w:r w:rsidRPr="00A67C53">
        <w:rPr>
          <w:rFonts w:eastAsia="Calibri" w:cs="Times New Roman"/>
          <w:color w:val="A6A6A6"/>
          <w:sz w:val="12"/>
        </w:rPr>
        <w:t xml:space="preserve">3 </w:t>
      </w:r>
      <w:r w:rsidRPr="00A67C53">
        <w:rPr>
          <w:rFonts w:eastAsia="Calibri" w:cs="Times New Roman"/>
          <w:b/>
          <w:u w:val="single"/>
        </w:rPr>
        <w:t>Many</w:t>
      </w:r>
      <w:r w:rsidRPr="00A67C53">
        <w:rPr>
          <w:rFonts w:eastAsia="Calibri" w:cs="Times New Roman"/>
        </w:rPr>
        <w:t xml:space="preserve"> </w:t>
      </w:r>
      <w:r w:rsidRPr="00A67C53">
        <w:rPr>
          <w:rFonts w:eastAsia="Calibri" w:cs="Times New Roman"/>
          <w:color w:val="A6A6A6"/>
          <w:sz w:val="12"/>
        </w:rPr>
        <w:t>colleges and universities, especially</w:t>
      </w:r>
      <w:r w:rsidRPr="00A67C53">
        <w:rPr>
          <w:rFonts w:eastAsia="Calibri" w:cs="Times New Roman"/>
        </w:rPr>
        <w:t xml:space="preserve"> </w:t>
      </w:r>
      <w:r w:rsidRPr="00A67C53">
        <w:rPr>
          <w:rFonts w:eastAsia="Calibri" w:cs="Times New Roman"/>
          <w:b/>
          <w:u w:val="single"/>
        </w:rPr>
        <w:t>state schools</w:t>
      </w:r>
      <w:r w:rsidRPr="00A67C53">
        <w:rPr>
          <w:rFonts w:eastAsia="Calibri" w:cs="Times New Roman"/>
          <w:color w:val="A6A6A6"/>
          <w:sz w:val="12"/>
        </w:rPr>
        <w:t xml:space="preserve">, </w:t>
      </w:r>
      <w:r w:rsidRPr="00A67C53">
        <w:rPr>
          <w:rFonts w:eastAsia="Calibri" w:cs="Times New Roman"/>
          <w:b/>
          <w:u w:val="single"/>
        </w:rPr>
        <w:t>are experiencing declining revenues, due to reductions in state support</w:t>
      </w:r>
      <w:r w:rsidRPr="00A67C53">
        <w:rPr>
          <w:rFonts w:eastAsia="Calibri" w:cs="Times New Roman"/>
          <w:color w:val="A6A6A6"/>
          <w:sz w:val="12"/>
        </w:rPr>
        <w:t xml:space="preserve">, endowments, and in some instances, tuition. 35 According to one source, it is estimated that approximately </w:t>
      </w:r>
      <w:r w:rsidRPr="00A67C53">
        <w:rPr>
          <w:rFonts w:eastAsia="Calibri" w:cs="Times New Roman"/>
          <w:b/>
          <w:u w:val="single"/>
        </w:rPr>
        <w:t>35 states have experienced</w:t>
      </w:r>
      <w:r w:rsidRPr="00A67C53">
        <w:rPr>
          <w:rFonts w:eastAsia="Calibri" w:cs="Times New Roman"/>
          <w:color w:val="A6A6A6"/>
          <w:sz w:val="12"/>
        </w:rPr>
        <w:t xml:space="preserve"> a</w:t>
      </w:r>
      <w:r w:rsidRPr="00A67C53">
        <w:rPr>
          <w:rFonts w:eastAsia="Calibri" w:cs="Times New Roman"/>
        </w:rPr>
        <w:t xml:space="preserve"> </w:t>
      </w:r>
      <w:r w:rsidRPr="00A67C53">
        <w:rPr>
          <w:rFonts w:eastAsia="Calibri" w:cs="Times New Roman"/>
          <w:b/>
          <w:u w:val="single"/>
        </w:rPr>
        <w:t>decline in revenue for</w:t>
      </w:r>
      <w:r w:rsidRPr="00A67C53">
        <w:rPr>
          <w:rFonts w:eastAsia="Calibri" w:cs="Times New Roman"/>
        </w:rPr>
        <w:t xml:space="preserve"> </w:t>
      </w:r>
      <w:r w:rsidRPr="00A67C53">
        <w:rPr>
          <w:rFonts w:eastAsia="Calibri" w:cs="Times New Roman"/>
          <w:color w:val="A6A6A6"/>
          <w:sz w:val="12"/>
        </w:rPr>
        <w:t>FY</w:t>
      </w:r>
      <w:r w:rsidRPr="00A67C53">
        <w:rPr>
          <w:rFonts w:eastAsia="Calibri" w:cs="Times New Roman"/>
          <w:b/>
          <w:u w:val="single"/>
        </w:rPr>
        <w:t>2012, with many states operating in a deficit.</w:t>
      </w:r>
      <w:r w:rsidRPr="00A67C53">
        <w:rPr>
          <w:rFonts w:eastAsia="Calibri" w:cs="Times New Roman"/>
          <w:color w:val="A6A6A6"/>
          <w:sz w:val="12"/>
        </w:rPr>
        <w:t xml:space="preserve"> 36 As a result, state funding for universities has fallen in many states. Some colleges are considering deferring maintenance projects and proposing increases in tuition. While states are cutting funding to address revenue declines and decreases in their operating budgets, these same institutions are simultaneously viewed as partners in further developing the economy of their respective states.</w:t>
      </w:r>
    </w:p>
    <w:p w:rsidR="00EB604C" w:rsidRPr="00A67C53" w:rsidRDefault="00EB604C" w:rsidP="00EB604C">
      <w:pPr>
        <w:rPr>
          <w:rFonts w:eastAsia="Calibri" w:cs="Times New Roman"/>
          <w:color w:val="A6A6A6"/>
          <w:sz w:val="12"/>
        </w:rPr>
      </w:pPr>
    </w:p>
    <w:p w:rsidR="00B8321C" w:rsidRDefault="00B8321C">
      <w:r>
        <w:br w:type="page"/>
      </w:r>
    </w:p>
    <w:p w:rsidR="008A39D7" w:rsidRDefault="008A39D7" w:rsidP="00261704">
      <w:pPr>
        <w:rPr>
          <w:rFonts w:ascii="Times New Roman" w:hAnsi="Times New Roman" w:cs="Times New Roman"/>
        </w:rPr>
      </w:pPr>
      <w:r w:rsidRPr="00261704">
        <w:lastRenderedPageBreak/>
        <w:t xml:space="preserve">The plan’s key to university funding. Empirics prove. </w:t>
      </w:r>
      <w:r>
        <w:rPr>
          <w:b/>
          <w:u w:val="single"/>
        </w:rPr>
        <w:t>Mentor 4</w:t>
      </w:r>
      <w:r>
        <w:rPr>
          <w:vertAlign w:val="superscript"/>
        </w:rPr>
        <w:footnoteReference w:id="13"/>
      </w:r>
      <w:r>
        <w:rPr>
          <w:rFonts w:ascii="Times New Roman" w:hAnsi="Times New Roman" w:cs="Times New Roman"/>
        </w:rPr>
        <w:t xml:space="preserve"> </w:t>
      </w:r>
    </w:p>
    <w:p w:rsidR="008A39D7" w:rsidRPr="005C36FC" w:rsidRDefault="008A39D7" w:rsidP="008A39D7">
      <w:pPr>
        <w:ind w:right="-1"/>
        <w:rPr>
          <w:color w:val="A6A6A6" w:themeColor="background1" w:themeShade="A6"/>
          <w:sz w:val="12"/>
        </w:rPr>
      </w:pPr>
    </w:p>
    <w:p w:rsidR="008A39D7" w:rsidRPr="005C36FC" w:rsidRDefault="008A39D7" w:rsidP="008A39D7">
      <w:pPr>
        <w:pBdr>
          <w:top w:val="single" w:sz="4" w:space="1" w:color="auto"/>
          <w:left w:val="single" w:sz="4" w:space="4" w:color="auto"/>
          <w:bottom w:val="single" w:sz="4" w:space="1" w:color="auto"/>
          <w:right w:val="single" w:sz="4" w:space="4" w:color="auto"/>
        </w:pBdr>
        <w:rPr>
          <w:b/>
          <w:u w:val="single"/>
        </w:rPr>
      </w:pPr>
      <w:r w:rsidRPr="005C36FC">
        <w:rPr>
          <w:color w:val="A6A6A6" w:themeColor="background1" w:themeShade="A6"/>
          <w:sz w:val="12"/>
        </w:rPr>
        <w:t xml:space="preserve">Ironically, </w:t>
      </w:r>
      <w:r w:rsidRPr="005C36FC">
        <w:rPr>
          <w:b/>
          <w:u w:val="single"/>
        </w:rPr>
        <w:t>in the</w:t>
      </w:r>
      <w:r w:rsidRPr="005C36FC">
        <w:rPr>
          <w:color w:val="A6A6A6" w:themeColor="background1" w:themeShade="A6"/>
          <w:sz w:val="12"/>
        </w:rPr>
        <w:t xml:space="preserve"> 19</w:t>
      </w:r>
      <w:r w:rsidRPr="005C36FC">
        <w:rPr>
          <w:b/>
          <w:u w:val="single"/>
        </w:rPr>
        <w:t>90's we</w:t>
      </w:r>
      <w:r w:rsidRPr="005C36FC">
        <w:rPr>
          <w:color w:val="A6A6A6" w:themeColor="background1" w:themeShade="A6"/>
          <w:sz w:val="12"/>
        </w:rPr>
        <w:t xml:space="preserve"> also </w:t>
      </w:r>
      <w:r w:rsidRPr="005C36FC">
        <w:rPr>
          <w:b/>
          <w:u w:val="single"/>
        </w:rPr>
        <w:t>began</w:t>
      </w:r>
      <w:r w:rsidRPr="00CA311A">
        <w:rPr>
          <w:color w:val="A6A6A6" w:themeColor="background1" w:themeShade="A6"/>
          <w:sz w:val="12"/>
        </w:rPr>
        <w:t xml:space="preserve"> to see </w:t>
      </w:r>
      <w:r w:rsidRPr="005C36FC">
        <w:rPr>
          <w:b/>
          <w:u w:val="single"/>
        </w:rPr>
        <w:t>a dollar-for-dollar tradeoff between corrections and education spending.</w:t>
      </w:r>
      <w:r w:rsidRPr="005C36FC">
        <w:rPr>
          <w:color w:val="A6A6A6" w:themeColor="background1" w:themeShade="A6"/>
          <w:sz w:val="12"/>
        </w:rPr>
        <w:t xml:space="preserve"> New York, for example, steadily increased its Corrections budget by 76 percent to $761 million while reducing funding to university systems by 28 percent, to $615 million. Much of </w:t>
      </w:r>
      <w:r w:rsidRPr="005C36FC">
        <w:rPr>
          <w:b/>
          <w:u w:val="single"/>
        </w:rPr>
        <w:t>the</w:t>
      </w:r>
      <w:r w:rsidRPr="00CA311A">
        <w:rPr>
          <w:color w:val="A6A6A6" w:themeColor="background1" w:themeShade="A6"/>
          <w:sz w:val="12"/>
        </w:rPr>
        <w:t xml:space="preserve"> increase in corrections </w:t>
      </w:r>
      <w:r w:rsidRPr="005C36FC">
        <w:rPr>
          <w:b/>
          <w:u w:val="single"/>
        </w:rPr>
        <w:t>spending was the result of longer</w:t>
      </w:r>
      <w:r w:rsidRPr="00CA311A">
        <w:rPr>
          <w:color w:val="A6A6A6" w:themeColor="background1" w:themeShade="A6"/>
          <w:sz w:val="12"/>
        </w:rPr>
        <w:t xml:space="preserve"> prison </w:t>
      </w:r>
      <w:r w:rsidRPr="005C36FC">
        <w:rPr>
          <w:b/>
          <w:u w:val="single"/>
        </w:rPr>
        <w:t>terms and</w:t>
      </w:r>
      <w:r w:rsidRPr="005C36FC">
        <w:rPr>
          <w:color w:val="A6A6A6" w:themeColor="background1" w:themeShade="A6"/>
          <w:sz w:val="12"/>
        </w:rPr>
        <w:t xml:space="preserve"> the need f</w:t>
      </w:r>
      <w:r w:rsidRPr="00CA311A">
        <w:rPr>
          <w:color w:val="A6A6A6" w:themeColor="background1" w:themeShade="A6"/>
          <w:sz w:val="12"/>
        </w:rPr>
        <w:t xml:space="preserve">or increased </w:t>
      </w:r>
      <w:r w:rsidRPr="005C36FC">
        <w:rPr>
          <w:b/>
          <w:u w:val="single"/>
        </w:rPr>
        <w:t>prison construction. Research by</w:t>
      </w:r>
      <w:r w:rsidRPr="005C36FC">
        <w:rPr>
          <w:color w:val="A6A6A6" w:themeColor="background1" w:themeShade="A6"/>
          <w:sz w:val="12"/>
        </w:rPr>
        <w:t xml:space="preserve"> the </w:t>
      </w:r>
      <w:r w:rsidRPr="005C36FC">
        <w:rPr>
          <w:b/>
          <w:u w:val="single"/>
        </w:rPr>
        <w:t>RAND</w:t>
      </w:r>
      <w:r w:rsidRPr="005C36FC">
        <w:rPr>
          <w:color w:val="A6A6A6" w:themeColor="background1" w:themeShade="A6"/>
          <w:sz w:val="12"/>
        </w:rPr>
        <w:t xml:space="preserve"> Corporation </w:t>
      </w:r>
      <w:r w:rsidRPr="005C36FC">
        <w:rPr>
          <w:b/>
          <w:u w:val="single"/>
        </w:rPr>
        <w:t>demonstrates that</w:t>
      </w:r>
      <w:r w:rsidRPr="005C36FC">
        <w:rPr>
          <w:color w:val="A6A6A6" w:themeColor="background1" w:themeShade="A6"/>
          <w:sz w:val="12"/>
        </w:rPr>
        <w:t xml:space="preserve"> crime prevention is more cost-effective than building prisons and that </w:t>
      </w:r>
      <w:r w:rsidRPr="005C36FC">
        <w:rPr>
          <w:b/>
          <w:u w:val="single"/>
        </w:rPr>
        <w:t>education is the most cost-effective crime prevention method</w:t>
      </w:r>
      <w:r w:rsidRPr="005C36FC">
        <w:rPr>
          <w:color w:val="A6A6A6" w:themeColor="background1" w:themeShade="A6"/>
          <w:sz w:val="12"/>
        </w:rPr>
        <w:t xml:space="preserve"> (Greenwood, 1996). Policies that focused on increasingly punitive incarceration, for longer periods of time, were not having the desired impact on crime prevention and resulted in reducing learning opportunities for everyone.</w:t>
      </w:r>
      <w:r>
        <w:rPr>
          <w:color w:val="A6A6A6" w:themeColor="background1" w:themeShade="A6"/>
          <w:sz w:val="12"/>
        </w:rPr>
        <w:t xml:space="preserve"> </w:t>
      </w:r>
      <w:r w:rsidRPr="005C36FC">
        <w:rPr>
          <w:color w:val="A6A6A6" w:themeColor="background1" w:themeShade="A6"/>
          <w:sz w:val="12"/>
        </w:rPr>
        <w:t>Benefits of Corrections Education</w:t>
      </w:r>
      <w:r>
        <w:rPr>
          <w:color w:val="A6A6A6" w:themeColor="background1" w:themeShade="A6"/>
          <w:sz w:val="12"/>
        </w:rPr>
        <w:t xml:space="preserve"> </w:t>
      </w:r>
      <w:r w:rsidRPr="005C36FC">
        <w:rPr>
          <w:color w:val="A6A6A6" w:themeColor="background1" w:themeShade="A6"/>
          <w:sz w:val="12"/>
        </w:rPr>
        <w:t>In 2000, the total number of prisoners in federal or state facilities was almost 1.4 million. Nearly 600,000 inmates were released in 2000, either unconditionally or under conditions of parole. Many of those released will be rearrested and will return to prison. Corrections education has the potential to greatly reduce the costs associated with the destructive cycle of incarceration and reincarceration. For example, one study indicated that those who benefited from correctional education recidivated 29% less often that those who did not have educational opportunities while in the correctional institution (Steurer, Smith, and Tracy, 2001).</w:t>
      </w:r>
      <w:r>
        <w:rPr>
          <w:color w:val="A6A6A6" w:themeColor="background1" w:themeShade="A6"/>
          <w:sz w:val="12"/>
        </w:rPr>
        <w:t xml:space="preserve"> </w:t>
      </w:r>
      <w:r w:rsidRPr="005C36FC">
        <w:rPr>
          <w:color w:val="A6A6A6" w:themeColor="background1" w:themeShade="A6"/>
          <w:sz w:val="12"/>
        </w:rPr>
        <w:t>A 1987 Bureau of Prisons report found that the more education an inmate received, the lower the rate of recidivism. Inmates who earned college degrees were the least likely to reenter prison. For inmates who had some high school, the rate of recidivism was 54.6 percent. For college graduates the rate dropped to 5.4 percent. Similarly, a Texas Department of Criminal Justice study found that while the state's overall rate of recidivism was 60 percent, for holders of college associate degrees it was 13.7 percent. The recidivism rate for those with Bachelor's degrees was 5.6 percent. The rate for those with Master's degrees was 0 percent.</w:t>
      </w:r>
      <w:r>
        <w:rPr>
          <w:color w:val="A6A6A6" w:themeColor="background1" w:themeShade="A6"/>
          <w:sz w:val="12"/>
        </w:rPr>
        <w:t xml:space="preserve"> </w:t>
      </w:r>
      <w:r w:rsidRPr="005C36FC">
        <w:rPr>
          <w:color w:val="A6A6A6" w:themeColor="background1" w:themeShade="A6"/>
          <w:sz w:val="12"/>
        </w:rPr>
        <w:t>Changing Minds: The Impact of College in a Maximum-Security Prison (</w:t>
      </w:r>
      <w:r w:rsidRPr="005C36FC">
        <w:rPr>
          <w:b/>
          <w:u w:val="single"/>
        </w:rPr>
        <w:t>Fine et. al</w:t>
      </w:r>
      <w:r w:rsidRPr="005C36FC">
        <w:rPr>
          <w:color w:val="A6A6A6" w:themeColor="background1" w:themeShade="A6"/>
          <w:sz w:val="12"/>
        </w:rPr>
        <w:t>, 2001)</w:t>
      </w:r>
      <w:r w:rsidRPr="00CA311A">
        <w:rPr>
          <w:color w:val="A6A6A6" w:themeColor="background1" w:themeShade="A6"/>
          <w:sz w:val="12"/>
        </w:rPr>
        <w:t xml:space="preserve"> </w:t>
      </w:r>
      <w:r w:rsidRPr="005C36FC">
        <w:rPr>
          <w:b/>
          <w:u w:val="single"/>
        </w:rPr>
        <w:t>was the first</w:t>
      </w:r>
      <w:r w:rsidRPr="005C36FC">
        <w:rPr>
          <w:color w:val="A6A6A6" w:themeColor="background1" w:themeShade="A6"/>
          <w:sz w:val="12"/>
        </w:rPr>
        <w:t xml:space="preserve"> major </w:t>
      </w:r>
      <w:r w:rsidRPr="005C36FC">
        <w:rPr>
          <w:b/>
          <w:u w:val="single"/>
        </w:rPr>
        <w:t>study</w:t>
      </w:r>
      <w:r w:rsidRPr="005C36FC">
        <w:rPr>
          <w:color w:val="A6A6A6" w:themeColor="background1" w:themeShade="A6"/>
          <w:sz w:val="12"/>
        </w:rPr>
        <w:t xml:space="preserve"> to examine the impact of college in prison </w:t>
      </w:r>
      <w:r w:rsidRPr="005C36FC">
        <w:rPr>
          <w:b/>
          <w:u w:val="single"/>
        </w:rPr>
        <w:t>since Pell grants were eliminated.</w:t>
      </w:r>
      <w:r w:rsidRPr="005C36FC">
        <w:rPr>
          <w:color w:val="A6A6A6" w:themeColor="background1" w:themeShade="A6"/>
          <w:sz w:val="12"/>
        </w:rPr>
        <w:t xml:space="preserve"> This study was conducted at Bedford Hills Correctional Facility, New York's only maximum-security women's prison. </w:t>
      </w:r>
      <w:r w:rsidRPr="005C36FC">
        <w:rPr>
          <w:b/>
          <w:u w:val="single"/>
        </w:rPr>
        <w:t>The</w:t>
      </w:r>
      <w:r w:rsidRPr="005C36FC">
        <w:rPr>
          <w:color w:val="A6A6A6" w:themeColor="background1" w:themeShade="A6"/>
          <w:sz w:val="12"/>
        </w:rPr>
        <w:t xml:space="preserve"> Changing Minds </w:t>
      </w:r>
      <w:r w:rsidRPr="005C36FC">
        <w:rPr>
          <w:b/>
          <w:u w:val="single"/>
        </w:rPr>
        <w:t>study demonstrated that college</w:t>
      </w:r>
      <w:r w:rsidRPr="005C36FC">
        <w:rPr>
          <w:color w:val="A6A6A6" w:themeColor="background1" w:themeShade="A6"/>
          <w:sz w:val="12"/>
        </w:rPr>
        <w:t xml:space="preserve"> prison </w:t>
      </w:r>
      <w:r w:rsidRPr="005C36FC">
        <w:rPr>
          <w:b/>
          <w:u w:val="single"/>
        </w:rPr>
        <w:t>programs</w:t>
      </w:r>
      <w:r w:rsidRPr="005C36FC">
        <w:rPr>
          <w:color w:val="A6A6A6" w:themeColor="background1" w:themeShade="A6"/>
          <w:sz w:val="12"/>
        </w:rPr>
        <w:t xml:space="preserve"> can </w:t>
      </w:r>
      <w:r w:rsidRPr="005C36FC">
        <w:rPr>
          <w:b/>
          <w:u w:val="single"/>
        </w:rPr>
        <w:t>save</w:t>
      </w:r>
      <w:r w:rsidRPr="00CA311A">
        <w:rPr>
          <w:color w:val="A6A6A6" w:themeColor="background1" w:themeShade="A6"/>
          <w:sz w:val="12"/>
        </w:rPr>
        <w:t xml:space="preserve"> taxpayers </w:t>
      </w:r>
      <w:r w:rsidRPr="005C36FC">
        <w:rPr>
          <w:b/>
          <w:u w:val="single"/>
        </w:rPr>
        <w:t>millions</w:t>
      </w:r>
      <w:r w:rsidRPr="005C36FC">
        <w:rPr>
          <w:color w:val="A6A6A6" w:themeColor="background1" w:themeShade="A6"/>
          <w:sz w:val="12"/>
        </w:rPr>
        <w:t xml:space="preserve"> of dollars. This study demonstrated that college prison programs transform lives, reduce recidivism, create safer prisons and communities, and significantly reduce the cost of prisons.</w:t>
      </w:r>
    </w:p>
    <w:p w:rsidR="00EB604C" w:rsidRDefault="00EB604C" w:rsidP="00EB604C">
      <w:pPr>
        <w:rPr>
          <w:rFonts w:eastAsia="Calibri" w:cs="Times New Roman"/>
        </w:rPr>
      </w:pPr>
    </w:p>
    <w:p w:rsidR="00EB604C" w:rsidRPr="00A67C53" w:rsidRDefault="00EB604C" w:rsidP="00EB604C">
      <w:pPr>
        <w:rPr>
          <w:rFonts w:eastAsia="Calibri" w:cs="Times New Roman"/>
        </w:rPr>
      </w:pPr>
      <w:r w:rsidRPr="00A67C53">
        <w:rPr>
          <w:rFonts w:eastAsia="Calibri" w:cs="Times New Roman"/>
        </w:rPr>
        <w:t xml:space="preserve">Federal funding for university R&amp;D is key to solve warming, disease, and economic growth. </w:t>
      </w:r>
      <w:r w:rsidRPr="00A67C53">
        <w:rPr>
          <w:rFonts w:eastAsia="Calibri" w:cs="Times New Roman"/>
          <w:b/>
          <w:u w:val="single"/>
        </w:rPr>
        <w:t>Dooley and Paxson 12-31</w:t>
      </w:r>
      <w:r w:rsidRPr="00A67C53">
        <w:rPr>
          <w:rFonts w:eastAsia="Calibri" w:cs="Times New Roman"/>
        </w:rPr>
        <w:t xml:space="preserve"> write</w:t>
      </w:r>
      <w:r w:rsidRPr="00A67C53">
        <w:rPr>
          <w:rFonts w:eastAsia="Calibri" w:cs="Times New Roman"/>
          <w:vertAlign w:val="superscript"/>
        </w:rPr>
        <w:footnoteReference w:id="14"/>
      </w:r>
    </w:p>
    <w:p w:rsidR="00EB604C" w:rsidRPr="00A67C53" w:rsidRDefault="00EB604C" w:rsidP="00EB604C">
      <w:pPr>
        <w:ind w:right="-1"/>
        <w:rPr>
          <w:rFonts w:eastAsia="Calibri" w:cs="Times New Roman"/>
          <w:color w:val="A6A6A6"/>
          <w:sz w:val="12"/>
        </w:rPr>
      </w:pP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As leaders in Washington and Rhode Island consider the current economic circumstances -- the Fiscal Cliff -- numerous budget "deals" and possible sequestration, we urge all to consider the importance of and need for strategic investment in one of our nation's most valuable resources: higher education. Without question, the looming deficit, expiring tax cuts and threat of across-the- board spending reductions requires difficult decisions to address America's long-term needs. But, when possible cuts to federal education and research funding threaten the future of American progress and creativity, then we will have truly jumped off a cliff. </w:t>
      </w:r>
      <w:r w:rsidRPr="00A67C53">
        <w:rPr>
          <w:rFonts w:eastAsia="Calibri" w:cs="Times New Roman"/>
          <w:b/>
          <w:u w:val="single"/>
        </w:rPr>
        <w:t>In Rhode Island,</w:t>
      </w:r>
      <w:r w:rsidRPr="00A67C53">
        <w:rPr>
          <w:rFonts w:eastAsia="Calibri" w:cs="Times New Roman"/>
          <w:color w:val="A6A6A6"/>
          <w:sz w:val="12"/>
        </w:rPr>
        <w:t xml:space="preserve"> the state's leading </w:t>
      </w:r>
      <w:r w:rsidRPr="00A67C53">
        <w:rPr>
          <w:rFonts w:eastAsia="Calibri" w:cs="Times New Roman"/>
          <w:b/>
          <w:u w:val="single"/>
        </w:rPr>
        <w:t>research universities</w:t>
      </w:r>
      <w:r w:rsidRPr="00A67C53">
        <w:rPr>
          <w:rFonts w:eastAsia="Calibri" w:cs="Times New Roman"/>
          <w:color w:val="A6A6A6"/>
          <w:sz w:val="12"/>
        </w:rPr>
        <w:t xml:space="preserve">, the University of Rhode Island and Brown, </w:t>
      </w:r>
      <w:r w:rsidRPr="00A67C53">
        <w:rPr>
          <w:rFonts w:eastAsia="Calibri" w:cs="Times New Roman"/>
          <w:b/>
          <w:u w:val="single"/>
        </w:rPr>
        <w:t>are</w:t>
      </w:r>
      <w:r w:rsidRPr="00A67C53">
        <w:rPr>
          <w:rFonts w:eastAsia="Calibri" w:cs="Times New Roman"/>
          <w:color w:val="A6A6A6"/>
          <w:sz w:val="12"/>
        </w:rPr>
        <w:t xml:space="preserve"> being seen by the private, public and nonprofit sectors as providing the </w:t>
      </w:r>
      <w:r w:rsidRPr="00A67C53">
        <w:rPr>
          <w:rFonts w:eastAsia="Calibri" w:cs="Times New Roman"/>
          <w:b/>
          <w:u w:val="single"/>
        </w:rPr>
        <w:t>essential</w:t>
      </w:r>
      <w:r w:rsidRPr="00A67C53">
        <w:rPr>
          <w:rFonts w:eastAsia="Calibri" w:cs="Times New Roman"/>
          <w:color w:val="A6A6A6"/>
          <w:sz w:val="12"/>
        </w:rPr>
        <w:t xml:space="preserve"> fuel </w:t>
      </w:r>
      <w:r w:rsidRPr="00A67C53">
        <w:rPr>
          <w:rFonts w:eastAsia="Calibri" w:cs="Times New Roman"/>
          <w:b/>
          <w:u w:val="single"/>
        </w:rPr>
        <w:t>to</w:t>
      </w:r>
      <w:r w:rsidRPr="00A67C53">
        <w:rPr>
          <w:rFonts w:eastAsia="Calibri" w:cs="Times New Roman"/>
          <w:color w:val="A6A6A6"/>
          <w:sz w:val="12"/>
        </w:rPr>
        <w:t xml:space="preserve"> propel </w:t>
      </w:r>
      <w:r w:rsidRPr="00A67C53">
        <w:rPr>
          <w:rFonts w:eastAsia="Calibri" w:cs="Times New Roman"/>
          <w:b/>
          <w:u w:val="single"/>
        </w:rPr>
        <w:t>the</w:t>
      </w:r>
      <w:r w:rsidRPr="00A67C53">
        <w:rPr>
          <w:rFonts w:eastAsia="Calibri" w:cs="Times New Roman"/>
          <w:color w:val="A6A6A6"/>
          <w:sz w:val="12"/>
        </w:rPr>
        <w:t xml:space="preserve"> state's </w:t>
      </w:r>
      <w:r w:rsidRPr="00A67C53">
        <w:rPr>
          <w:rFonts w:eastAsia="Calibri" w:cs="Times New Roman"/>
          <w:b/>
          <w:u w:val="single"/>
        </w:rPr>
        <w:t>economy.</w:t>
      </w:r>
      <w:r w:rsidRPr="00A67C53">
        <w:rPr>
          <w:rFonts w:eastAsia="Calibri" w:cs="Times New Roman"/>
          <w:color w:val="A6A6A6"/>
          <w:sz w:val="12"/>
        </w:rPr>
        <w:t xml:space="preserve"> Through education and research, our universities attract vital resources to support the advancement of knowledge, ideas and innovation. In turn, and in fulfillment of our missions, we prepare a significant segment of the state's workforce and provide the infrastructure upon which companies, and jobs, are built. Continuing to do </w:t>
      </w:r>
      <w:r w:rsidRPr="00A67C53">
        <w:rPr>
          <w:rFonts w:eastAsia="Calibri" w:cs="Times New Roman"/>
          <w:b/>
          <w:u w:val="single"/>
        </w:rPr>
        <w:t>this</w:t>
      </w:r>
      <w:r w:rsidRPr="00A67C53">
        <w:rPr>
          <w:rFonts w:eastAsia="Calibri" w:cs="Times New Roman"/>
          <w:color w:val="A6A6A6"/>
          <w:sz w:val="12"/>
        </w:rPr>
        <w:t xml:space="preserve"> successfully </w:t>
      </w:r>
      <w:r w:rsidRPr="00A67C53">
        <w:rPr>
          <w:rFonts w:eastAsia="Calibri" w:cs="Times New Roman"/>
          <w:b/>
          <w:u w:val="single"/>
        </w:rPr>
        <w:t>demands</w:t>
      </w:r>
      <w:r w:rsidRPr="00A67C53">
        <w:rPr>
          <w:rFonts w:eastAsia="Calibri" w:cs="Times New Roman"/>
          <w:color w:val="A6A6A6"/>
          <w:sz w:val="12"/>
        </w:rPr>
        <w:t xml:space="preserve"> a </w:t>
      </w:r>
      <w:r w:rsidRPr="00A67C53">
        <w:rPr>
          <w:rFonts w:eastAsia="Calibri" w:cs="Times New Roman"/>
          <w:b/>
          <w:u w:val="single"/>
        </w:rPr>
        <w:t>stable</w:t>
      </w:r>
      <w:r w:rsidRPr="00A67C53">
        <w:rPr>
          <w:rFonts w:eastAsia="Calibri" w:cs="Times New Roman"/>
          <w:color w:val="A6A6A6"/>
          <w:sz w:val="12"/>
        </w:rPr>
        <w:t xml:space="preserve"> source of </w:t>
      </w:r>
      <w:r w:rsidRPr="00A67C53">
        <w:rPr>
          <w:rFonts w:eastAsia="Calibri" w:cs="Times New Roman"/>
          <w:b/>
          <w:u w:val="single"/>
        </w:rPr>
        <w:t>federal research funding.</w:t>
      </w:r>
      <w:r w:rsidRPr="00A67C53">
        <w:rPr>
          <w:rFonts w:eastAsia="Calibri" w:cs="Times New Roman"/>
          <w:color w:val="A6A6A6"/>
          <w:sz w:val="12"/>
        </w:rPr>
        <w:t xml:space="preserve"> This is particularly critical as state support for higher education has diminished, incentives for charitable giving are threatened and we seek to moderate tuition increases while ensuring access for qualified students. In 2011 URI and Brown brought to the state about $250 million in </w:t>
      </w:r>
      <w:r w:rsidRPr="00A67C53">
        <w:rPr>
          <w:rFonts w:eastAsia="Calibri" w:cs="Times New Roman"/>
          <w:b/>
          <w:u w:val="single"/>
        </w:rPr>
        <w:t>federal</w:t>
      </w:r>
      <w:r w:rsidRPr="00A67C53">
        <w:rPr>
          <w:rFonts w:eastAsia="Calibri" w:cs="Times New Roman"/>
          <w:color w:val="A6A6A6"/>
          <w:sz w:val="12"/>
        </w:rPr>
        <w:t xml:space="preserve"> research </w:t>
      </w:r>
      <w:r w:rsidRPr="00A67C53">
        <w:rPr>
          <w:rFonts w:eastAsia="Calibri" w:cs="Times New Roman"/>
          <w:b/>
          <w:u w:val="single"/>
        </w:rPr>
        <w:t>dollars</w:t>
      </w:r>
      <w:r w:rsidRPr="00A67C53">
        <w:rPr>
          <w:rFonts w:eastAsia="Calibri" w:cs="Times New Roman"/>
          <w:color w:val="A6A6A6"/>
          <w:sz w:val="12"/>
        </w:rPr>
        <w:t xml:space="preserve">. In addition to </w:t>
      </w:r>
      <w:r w:rsidRPr="00A67C53">
        <w:rPr>
          <w:rFonts w:eastAsia="Calibri" w:cs="Times New Roman"/>
          <w:b/>
          <w:u w:val="single"/>
        </w:rPr>
        <w:t>provid[e]</w:t>
      </w:r>
      <w:r w:rsidRPr="00A67C53">
        <w:rPr>
          <w:rFonts w:eastAsia="Calibri" w:cs="Times New Roman"/>
          <w:color w:val="A6A6A6"/>
          <w:sz w:val="12"/>
        </w:rPr>
        <w:t xml:space="preserve">ing </w:t>
      </w:r>
      <w:r w:rsidRPr="00A67C53">
        <w:rPr>
          <w:rFonts w:eastAsia="Calibri" w:cs="Times New Roman"/>
          <w:b/>
          <w:u w:val="single"/>
        </w:rPr>
        <w:t>the funds needed to advance research</w:t>
      </w:r>
      <w:r w:rsidRPr="00A67C53">
        <w:rPr>
          <w:rFonts w:eastAsia="Calibri" w:cs="Times New Roman"/>
          <w:color w:val="A6A6A6"/>
          <w:sz w:val="12"/>
        </w:rPr>
        <w:t xml:space="preserve"> and understanding </w:t>
      </w:r>
      <w:r w:rsidRPr="00A67C53">
        <w:rPr>
          <w:rFonts w:eastAsia="Calibri" w:cs="Times New Roman"/>
          <w:b/>
          <w:u w:val="single"/>
        </w:rPr>
        <w:t>of</w:t>
      </w:r>
      <w:r w:rsidRPr="00A67C53">
        <w:rPr>
          <w:rFonts w:eastAsia="Calibri" w:cs="Times New Roman"/>
          <w:color w:val="A6A6A6"/>
          <w:sz w:val="12"/>
        </w:rPr>
        <w:t xml:space="preserve"> areas ranging from autism to Alzheimer's </w:t>
      </w:r>
      <w:r w:rsidRPr="00A67C53">
        <w:rPr>
          <w:rFonts w:eastAsia="Calibri" w:cs="Times New Roman"/>
          <w:b/>
          <w:u w:val="single"/>
        </w:rPr>
        <w:t>disease,</w:t>
      </w:r>
      <w:r w:rsidRPr="00A67C53">
        <w:rPr>
          <w:rFonts w:eastAsia="Calibri" w:cs="Times New Roman"/>
          <w:color w:val="A6A6A6"/>
          <w:sz w:val="12"/>
        </w:rPr>
        <w:t xml:space="preserve"> to forms of cancer, global </w:t>
      </w:r>
      <w:r w:rsidRPr="00A67C53">
        <w:rPr>
          <w:rFonts w:eastAsia="Calibri" w:cs="Times New Roman"/>
          <w:b/>
          <w:u w:val="single"/>
        </w:rPr>
        <w:t>warming,</w:t>
      </w:r>
      <w:r w:rsidRPr="00A67C53">
        <w:rPr>
          <w:rFonts w:eastAsia="Calibri" w:cs="Times New Roman"/>
          <w:color w:val="A6A6A6"/>
          <w:sz w:val="12"/>
        </w:rPr>
        <w:t xml:space="preserve"> transportation </w:t>
      </w:r>
      <w:r w:rsidRPr="00A67C53">
        <w:rPr>
          <w:rFonts w:eastAsia="Calibri" w:cs="Times New Roman"/>
          <w:b/>
          <w:u w:val="single"/>
        </w:rPr>
        <w:t>and alternative energy</w:t>
      </w:r>
      <w:r w:rsidRPr="00A67C53">
        <w:rPr>
          <w:rFonts w:eastAsia="Calibri" w:cs="Times New Roman"/>
          <w:color w:val="A6A6A6"/>
          <w:sz w:val="12"/>
        </w:rPr>
        <w:t xml:space="preserve">, these funds have also employed thousands of people. Combined, more than 6,700 faculty and staff work at our institutions, and we enroll more than 25,100 graduate and undergraduate students. The majority of our employees live in Rhode Island, have homes here, pay state and local taxes and contribute otherwise to the fabric of our communities. Basic research is essential for long-term growth and is a cornerstone of the state's economy. According to the Rhode Island Science and Technology Advisory Council, more than 20,000 individuals are employed in research and development-related positions in Rhode Island and 118 companies are directly engaged in R&amp;D pursuits. The National Science Foundation estimates that R&amp;D represents 2.6 percent of Rhode Island's gross domestic product. The state's colleges and universities provide much of the innovation and human capital to support this R&amp;D infrastructure. We attract and support the talented faculty, students and staff to our campuses and provide them with the facilities, tools and equipment to advance research and discovery, which in turn leads to commercialization, companies and employment. As decision makers identify opportunities for spending cuts, we urge that they keep in mind that funding for research and education, which makes up a tiny portion of the relatively small total federal discretionary budget, has already borne the brunt of recent federal cutbacks. In fact, since 2010, federal programs that support most scientific research have been cut by 10 percent on average, and face further cuts of more than 8 percent should our nation's leaders fail to prevent a fall from the fiscal cliff. Nationwide, this would mean about $12 billion in reductions across the board to R&amp;D affecting the National Institutes of Health, National Science Foundation, the Department of Education and nearly every other agency. Locally, our institutions alone could see a loss of up to $25 million in just a single year. Such reductions would affect jobs, spending and ultimately revenue collected by the state. Perhaps more devastating would be the long-term implications of such cuts. We know that as much as </w:t>
      </w:r>
      <w:r w:rsidRPr="00A67C53">
        <w:rPr>
          <w:rFonts w:eastAsia="Calibri" w:cs="Times New Roman"/>
          <w:b/>
          <w:u w:val="single"/>
        </w:rPr>
        <w:t>half of</w:t>
      </w:r>
      <w:r w:rsidRPr="00A67C53">
        <w:rPr>
          <w:rFonts w:eastAsia="Calibri" w:cs="Times New Roman"/>
          <w:color w:val="A6A6A6"/>
          <w:sz w:val="12"/>
        </w:rPr>
        <w:t xml:space="preserve"> U.S. </w:t>
      </w:r>
      <w:r w:rsidRPr="00A67C53">
        <w:rPr>
          <w:rFonts w:eastAsia="Calibri" w:cs="Times New Roman"/>
          <w:b/>
          <w:u w:val="single"/>
        </w:rPr>
        <w:t>economic growth since World War II is a</w:t>
      </w:r>
      <w:r w:rsidRPr="00A67C53">
        <w:rPr>
          <w:rFonts w:eastAsia="Calibri" w:cs="Times New Roman"/>
          <w:color w:val="A6A6A6"/>
          <w:sz w:val="12"/>
        </w:rPr>
        <w:t xml:space="preserve"> direct or indirect </w:t>
      </w:r>
      <w:r w:rsidRPr="00A67C53">
        <w:rPr>
          <w:rFonts w:eastAsia="Calibri" w:cs="Times New Roman"/>
          <w:b/>
          <w:u w:val="single"/>
        </w:rPr>
        <w:t>result of tech</w:t>
      </w:r>
      <w:r w:rsidRPr="00A67C53">
        <w:rPr>
          <w:rFonts w:eastAsia="Calibri" w:cs="Times New Roman"/>
          <w:color w:val="A6A6A6"/>
          <w:sz w:val="12"/>
        </w:rPr>
        <w:t xml:space="preserve">nological </w:t>
      </w:r>
      <w:r w:rsidRPr="00A67C53">
        <w:rPr>
          <w:rFonts w:eastAsia="Calibri" w:cs="Times New Roman"/>
          <w:b/>
          <w:u w:val="single"/>
        </w:rPr>
        <w:t>innovation</w:t>
      </w:r>
      <w:r w:rsidRPr="00A67C53">
        <w:rPr>
          <w:rFonts w:eastAsia="Calibri" w:cs="Times New Roman"/>
          <w:color w:val="A6A6A6"/>
          <w:sz w:val="12"/>
        </w:rPr>
        <w:t xml:space="preserve">, much of which was </w:t>
      </w:r>
      <w:r w:rsidRPr="00A67C53">
        <w:rPr>
          <w:rFonts w:eastAsia="Calibri" w:cs="Times New Roman"/>
          <w:b/>
          <w:u w:val="single"/>
        </w:rPr>
        <w:t>made possible through federally funded</w:t>
      </w:r>
      <w:r w:rsidRPr="00A67C53">
        <w:rPr>
          <w:rFonts w:eastAsia="Calibri" w:cs="Times New Roman"/>
          <w:color w:val="A6A6A6"/>
          <w:sz w:val="12"/>
        </w:rPr>
        <w:t xml:space="preserve"> scientific </w:t>
      </w:r>
      <w:r w:rsidRPr="00A67C53">
        <w:rPr>
          <w:rFonts w:eastAsia="Calibri" w:cs="Times New Roman"/>
          <w:b/>
          <w:u w:val="single"/>
        </w:rPr>
        <w:t>research.</w:t>
      </w:r>
      <w:r w:rsidRPr="00A67C53">
        <w:rPr>
          <w:rFonts w:eastAsia="Calibri" w:cs="Times New Roman"/>
          <w:color w:val="A6A6A6"/>
          <w:sz w:val="12"/>
        </w:rPr>
        <w:t xml:space="preserve"> We must spare from continued cuts areas that are critical to our nation's ability to generate the ideas, discoveries and enterprises of the future. Rhode Island has been hit especially hard by the nation's severe recession and has been slow to recover. The state and local governments are struggling to provide services, and unemployment still exceeds 10 percent. It is not surprising that, at times like this, some may question the value of investing in basic research. Although the fruits of scholarship are not always predictable, </w:t>
      </w:r>
      <w:r w:rsidRPr="00A67C53">
        <w:rPr>
          <w:rFonts w:eastAsia="Calibri" w:cs="Times New Roman"/>
          <w:b/>
          <w:u w:val="single"/>
        </w:rPr>
        <w:t>one thing is clear: If America's universities don't undertake this work</w:t>
      </w:r>
      <w:r w:rsidRPr="00A67C53">
        <w:rPr>
          <w:rFonts w:eastAsia="Calibri" w:cs="Times New Roman"/>
          <w:color w:val="A6A6A6"/>
          <w:sz w:val="12"/>
        </w:rPr>
        <w:t xml:space="preserve"> that not only solves problems but creates new, sustainable jobs, </w:t>
      </w:r>
      <w:r w:rsidRPr="00A67C53">
        <w:rPr>
          <w:rFonts w:eastAsia="Calibri" w:cs="Times New Roman"/>
          <w:b/>
          <w:u w:val="single"/>
        </w:rPr>
        <w:t>no one will.</w:t>
      </w:r>
      <w:r w:rsidRPr="00A67C53">
        <w:rPr>
          <w:rFonts w:eastAsia="Calibri" w:cs="Times New Roman"/>
          <w:color w:val="A6A6A6"/>
          <w:sz w:val="12"/>
        </w:rPr>
        <w:t xml:space="preserve"> And the community, the nation and the world would be poorer as a result.</w:t>
      </w:r>
    </w:p>
    <w:p w:rsidR="00EB604C" w:rsidRPr="00A67C53" w:rsidRDefault="00EB604C" w:rsidP="00261704">
      <w:pPr>
        <w:rPr>
          <w:rFonts w:eastAsia="Calibri" w:cs="Times New Roman"/>
        </w:rPr>
      </w:pPr>
      <w:r w:rsidRPr="00261704">
        <w:lastRenderedPageBreak/>
        <w:t xml:space="preserve">Ocean studies prove warming causes extinction. </w:t>
      </w:r>
      <w:r w:rsidRPr="00A67C53">
        <w:rPr>
          <w:rFonts w:eastAsia="Calibri" w:cs="Times New Roman"/>
          <w:b/>
          <w:u w:val="single"/>
        </w:rPr>
        <w:t>Sify 10</w:t>
      </w:r>
      <w:r w:rsidRPr="00A67C53">
        <w:rPr>
          <w:rFonts w:eastAsia="Calibri" w:cs="Times New Roman"/>
          <w:b/>
        </w:rPr>
        <w:t xml:space="preserve"> </w:t>
      </w:r>
      <w:r w:rsidRPr="00A67C53">
        <w:rPr>
          <w:rFonts w:eastAsia="Calibri" w:cs="Times New Roman"/>
        </w:rPr>
        <w:t>writes</w:t>
      </w:r>
      <w:r w:rsidRPr="00A67C53">
        <w:rPr>
          <w:rFonts w:eastAsia="Calibri" w:cs="Times New Roman"/>
          <w:vertAlign w:val="superscript"/>
        </w:rPr>
        <w:footnoteReference w:id="15"/>
      </w:r>
    </w:p>
    <w:p w:rsidR="00EB604C" w:rsidRPr="00A67C53" w:rsidRDefault="00EB604C" w:rsidP="00EB604C">
      <w:pPr>
        <w:rPr>
          <w:rFonts w:eastAsia="Calibri" w:cs="Times New Roman"/>
          <w:sz w:val="10"/>
        </w:rPr>
      </w:pPr>
    </w:p>
    <w:p w:rsidR="00EB604C" w:rsidRPr="00A67C53" w:rsidRDefault="00EB604C" w:rsidP="00EB604C">
      <w:pPr>
        <w:pBdr>
          <w:top w:val="single" w:sz="4" w:space="4" w:color="auto"/>
          <w:left w:val="single" w:sz="4" w:space="4" w:color="auto"/>
          <w:bottom w:val="single" w:sz="4" w:space="4" w:color="auto"/>
          <w:right w:val="single" w:sz="4" w:space="4" w:color="auto"/>
        </w:pBdr>
        <w:rPr>
          <w:rFonts w:eastAsia="Calibri" w:cs="Times New Roman"/>
          <w:b/>
        </w:rPr>
      </w:pPr>
      <w:r w:rsidRPr="00A67C53">
        <w:rPr>
          <w:rFonts w:eastAsia="Calibri" w:cs="Times New Roman"/>
          <w:color w:val="A6A6A6"/>
          <w:sz w:val="12"/>
        </w:rPr>
        <w:t xml:space="preserve">Sydney: Scientists have sounded alarm bells about how growing concentrations of </w:t>
      </w:r>
      <w:r w:rsidRPr="00A67C53">
        <w:rPr>
          <w:rFonts w:eastAsia="Calibri" w:cs="Times New Roman"/>
          <w:b/>
          <w:u w:val="single"/>
        </w:rPr>
        <w:t>greenhouse gases are driving irreversible</w:t>
      </w:r>
      <w:r w:rsidRPr="00A67C53">
        <w:rPr>
          <w:rFonts w:eastAsia="Calibri" w:cs="Times New Roman"/>
          <w:color w:val="A6A6A6"/>
          <w:sz w:val="12"/>
        </w:rPr>
        <w:t xml:space="preserve"> and dramatic </w:t>
      </w:r>
      <w:r w:rsidRPr="00A67C53">
        <w:rPr>
          <w:rFonts w:eastAsia="Calibri" w:cs="Times New Roman"/>
          <w:b/>
          <w:u w:val="single"/>
        </w:rPr>
        <w:t>change</w:t>
      </w:r>
      <w:r w:rsidRPr="00A67C53">
        <w:rPr>
          <w:rFonts w:eastAsia="Calibri" w:cs="Times New Roman"/>
          <w:color w:val="A6A6A6"/>
          <w:sz w:val="12"/>
        </w:rPr>
        <w:t xml:space="preserve">s </w:t>
      </w:r>
      <w:r w:rsidRPr="00A67C53">
        <w:rPr>
          <w:rFonts w:eastAsia="Calibri" w:cs="Times New Roman"/>
          <w:b/>
          <w:u w:val="single"/>
        </w:rPr>
        <w:t>in</w:t>
      </w:r>
      <w:r w:rsidRPr="00A67C53">
        <w:rPr>
          <w:rFonts w:eastAsia="Calibri" w:cs="Times New Roman"/>
          <w:color w:val="A6A6A6"/>
          <w:sz w:val="12"/>
        </w:rPr>
        <w:t xml:space="preserve"> the way the </w:t>
      </w:r>
      <w:r w:rsidRPr="00A67C53">
        <w:rPr>
          <w:rFonts w:eastAsia="Calibri" w:cs="Times New Roman"/>
          <w:b/>
          <w:u w:val="single"/>
        </w:rPr>
        <w:t>oceans</w:t>
      </w:r>
      <w:r w:rsidRPr="00A67C53">
        <w:rPr>
          <w:rFonts w:eastAsia="Calibri" w:cs="Times New Roman"/>
          <w:color w:val="A6A6A6"/>
          <w:sz w:val="12"/>
        </w:rPr>
        <w:t xml:space="preserve"> function, providing evidence that humankind could well be on the way to the next great extinction.  </w:t>
      </w:r>
      <w:r w:rsidRPr="00A67C53">
        <w:rPr>
          <w:rFonts w:eastAsia="Calibri" w:cs="Times New Roman"/>
          <w:b/>
          <w:u w:val="single"/>
        </w:rPr>
        <w:t>The findings</w:t>
      </w:r>
      <w:r w:rsidRPr="00A67C53">
        <w:rPr>
          <w:rFonts w:eastAsia="Calibri" w:cs="Times New Roman"/>
          <w:color w:val="A6A6A6"/>
          <w:sz w:val="12"/>
        </w:rPr>
        <w:t xml:space="preserve"> of the comprehensive report: 'The impact of climate change on the world's marine ecosystems' </w:t>
      </w:r>
      <w:r w:rsidRPr="00A67C53">
        <w:rPr>
          <w:rFonts w:eastAsia="Calibri" w:cs="Times New Roman"/>
          <w:b/>
          <w:u w:val="single"/>
        </w:rPr>
        <w:t>emerged from a synthesis of recent research</w:t>
      </w:r>
      <w:r w:rsidRPr="00A67C53">
        <w:rPr>
          <w:rFonts w:eastAsia="Calibri" w:cs="Times New Roman"/>
          <w:color w:val="A6A6A6"/>
          <w:sz w:val="12"/>
        </w:rPr>
        <w:t xml:space="preserve"> on the world's oceans, carried out </w:t>
      </w:r>
      <w:r w:rsidRPr="00A67C53">
        <w:rPr>
          <w:rFonts w:eastAsia="Calibri" w:cs="Times New Roman"/>
          <w:b/>
          <w:u w:val="single"/>
        </w:rPr>
        <w:t>by two of the world's leading marine scientists</w:t>
      </w:r>
      <w:r w:rsidRPr="00A67C53">
        <w:rPr>
          <w:rFonts w:eastAsia="Calibri" w:cs="Times New Roman"/>
          <w:color w:val="A6A6A6"/>
          <w:sz w:val="12"/>
        </w:rPr>
        <w:t xml:space="preserve">.  One of the authors of the report is Ove Hoegh-Guldberg,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A67C53">
        <w:rPr>
          <w:rFonts w:eastAsia="Calibri" w:cs="Times New Roman"/>
          <w:b/>
          <w:u w:val="single"/>
        </w:rPr>
        <w:t>further evidence that we are well on the way to</w:t>
      </w:r>
      <w:r w:rsidRPr="00A67C53">
        <w:rPr>
          <w:rFonts w:eastAsia="Calibri" w:cs="Times New Roman"/>
          <w:color w:val="A6A6A6"/>
          <w:sz w:val="12"/>
        </w:rPr>
        <w:t xml:space="preserve"> the next great </w:t>
      </w:r>
      <w:r w:rsidRPr="00A67C53">
        <w:rPr>
          <w:rFonts w:eastAsia="Calibri" w:cs="Times New Roman"/>
          <w:b/>
          <w:u w:val="single"/>
        </w:rPr>
        <w:t>extinction</w:t>
      </w:r>
      <w:r w:rsidRPr="00A67C53">
        <w:rPr>
          <w:rFonts w:eastAsia="Calibri" w:cs="Times New Roman"/>
          <w:color w:val="A6A6A6"/>
          <w:sz w:val="12"/>
        </w:rPr>
        <w:t xml:space="preserve"> event,' says Hoegh-Guldberg.  'The findings have enormous implications for mankind, particularly </w:t>
      </w:r>
      <w:r w:rsidRPr="00A67C53">
        <w:rPr>
          <w:rFonts w:eastAsia="Calibri" w:cs="Times New Roman"/>
          <w:b/>
          <w:u w:val="single"/>
        </w:rPr>
        <w:t>if the trend continues.</w:t>
      </w:r>
      <w:r w:rsidRPr="00A67C53">
        <w:rPr>
          <w:rFonts w:eastAsia="Calibri" w:cs="Times New Roman"/>
          <w:color w:val="A6A6A6"/>
          <w:sz w:val="1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 he added.  'We are entering a period in which the ocean services upon which humanity depends are undergoing massive change and in some cases beginning to fail', he added. </w:t>
      </w:r>
    </w:p>
    <w:p w:rsidR="00EB604C" w:rsidRPr="00A67C53" w:rsidRDefault="00EB604C" w:rsidP="00EB604C">
      <w:pPr>
        <w:ind w:right="-1"/>
        <w:rPr>
          <w:rFonts w:eastAsia="Calibri" w:cs="Times New Roman"/>
        </w:rPr>
      </w:pPr>
    </w:p>
    <w:p w:rsidR="00234497" w:rsidRPr="00FD57E1" w:rsidRDefault="00234497" w:rsidP="00261704">
      <w:pPr>
        <w:rPr>
          <w:bCs/>
          <w:iCs/>
        </w:rPr>
      </w:pPr>
      <w:r w:rsidRPr="00261704">
        <w:t xml:space="preserve">Economic crisis causes nuclear war. </w:t>
      </w:r>
      <w:r w:rsidRPr="00FD57E1">
        <w:rPr>
          <w:b/>
          <w:bCs/>
          <w:iCs/>
          <w:u w:val="single"/>
        </w:rPr>
        <w:t>Royal 10</w:t>
      </w:r>
      <w:r w:rsidRPr="00FD57E1">
        <w:rPr>
          <w:bCs/>
          <w:iCs/>
          <w:vertAlign w:val="superscript"/>
        </w:rPr>
        <w:footnoteReference w:id="16"/>
      </w:r>
    </w:p>
    <w:p w:rsidR="00234497" w:rsidRPr="00FD57E1" w:rsidRDefault="00234497" w:rsidP="002344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Pollins (2008) advances</w:t>
      </w:r>
      <w:r w:rsidRPr="00FD57E1">
        <w:t xml:space="preserve"> </w:t>
      </w:r>
      <w:r w:rsidRPr="00FD57E1">
        <w:rPr>
          <w:b/>
          <w:u w:val="single"/>
        </w:rPr>
        <w:t>Modelski and Thompson</w:t>
      </w:r>
      <w:r w:rsidRPr="00FD57E1">
        <w:rPr>
          <w:color w:val="A6A6A6" w:themeColor="background1" w:themeShade="A6"/>
          <w:sz w:val="12"/>
        </w:rPr>
        <w:t xml:space="preserve">’s (1996) work on leadership cycle theory, </w:t>
      </w:r>
      <w:r w:rsidRPr="00FD57E1">
        <w:rPr>
          <w:b/>
          <w:u w:val="single"/>
        </w:rPr>
        <w:t>find</w:t>
      </w:r>
      <w:r w:rsidRPr="00FD57E1">
        <w:rPr>
          <w:color w:val="A6A6A6" w:themeColor="background1" w:themeShade="A6"/>
          <w:sz w:val="12"/>
        </w:rPr>
        <w:t>ing</w:t>
      </w:r>
      <w:r w:rsidRPr="00FD57E1">
        <w:t xml:space="preserve"> </w:t>
      </w:r>
      <w:r w:rsidRPr="00FD57E1">
        <w:rPr>
          <w:b/>
          <w:u w:val="single"/>
        </w:rPr>
        <w:t>that</w:t>
      </w:r>
      <w:r w:rsidRPr="001B073F">
        <w:rPr>
          <w:color w:val="A6A6A6" w:themeColor="background1" w:themeShade="A6"/>
          <w:sz w:val="12"/>
        </w:rPr>
        <w:t xml:space="preserve"> rhythms in the global economy are associated with the rise and fall of a pre-eminent power and the often bloody transition from one pre-eminent leader to the next. As such</w:t>
      </w:r>
      <w:r w:rsidRPr="00FD57E1">
        <w:rPr>
          <w:color w:val="A6A6A6" w:themeColor="background1" w:themeShade="A6"/>
          <w:sz w:val="12"/>
        </w:rPr>
        <w:t>, exogenous</w:t>
      </w:r>
      <w:r w:rsidRPr="00FD57E1">
        <w:t xml:space="preserve"> </w:t>
      </w:r>
      <w:r w:rsidRPr="00FD57E1">
        <w:rPr>
          <w:b/>
          <w:u w:val="single"/>
        </w:rPr>
        <w:t>shocks</w:t>
      </w:r>
      <w:r w:rsidRPr="00FD57E1">
        <w:t xml:space="preserve"> </w:t>
      </w:r>
      <w:r w:rsidRPr="00FD57E1">
        <w:rPr>
          <w:color w:val="A6A6A6" w:themeColor="background1" w:themeShade="A6"/>
          <w:sz w:val="12"/>
        </w:rPr>
        <w:t>such as economic crises could</w:t>
      </w:r>
      <w:r w:rsidRPr="00FD57E1">
        <w:t xml:space="preserve"> </w:t>
      </w:r>
      <w:r w:rsidRPr="00FD57E1">
        <w:rPr>
          <w:b/>
          <w:u w:val="single"/>
        </w:rPr>
        <w:t>usher in a redistribution of</w:t>
      </w:r>
      <w:r w:rsidRPr="00FD57E1">
        <w:t xml:space="preserve"> </w:t>
      </w:r>
      <w:r w:rsidRPr="00FD57E1">
        <w:rPr>
          <w:color w:val="A6A6A6" w:themeColor="background1" w:themeShade="A6"/>
          <w:sz w:val="12"/>
        </w:rPr>
        <w:t xml:space="preserve">relative </w:t>
      </w:r>
      <w:r w:rsidRPr="00FD57E1">
        <w:rPr>
          <w:b/>
          <w:u w:val="single"/>
        </w:rPr>
        <w:t>power</w:t>
      </w:r>
      <w:r w:rsidRPr="00FD57E1">
        <w:t xml:space="preserve"> </w:t>
      </w:r>
      <w:r w:rsidRPr="00FD57E1">
        <w:rPr>
          <w:color w:val="A6A6A6" w:themeColor="background1" w:themeShade="A6"/>
          <w:sz w:val="12"/>
        </w:rPr>
        <w:t>(see also Gilpin, 1981) that leads to uncertainty about power balances,</w:t>
      </w:r>
      <w:r w:rsidRPr="00FD57E1">
        <w:t xml:space="preserve"> </w:t>
      </w:r>
      <w:r w:rsidRPr="00FD57E1">
        <w:rPr>
          <w:b/>
          <w:u w:val="single"/>
        </w:rPr>
        <w:t>increasing</w:t>
      </w:r>
      <w:r w:rsidRPr="00FD57E1">
        <w:t xml:space="preserve"> </w:t>
      </w:r>
      <w:r w:rsidRPr="00FD57E1">
        <w:rPr>
          <w:color w:val="A6A6A6" w:themeColor="background1" w:themeShade="A6"/>
          <w:sz w:val="12"/>
        </w:rPr>
        <w:t>the risk of</w:t>
      </w:r>
      <w:r w:rsidRPr="00FD57E1">
        <w:t xml:space="preserve"> </w:t>
      </w:r>
      <w:r w:rsidRPr="00FD57E1">
        <w:rPr>
          <w:b/>
          <w:u w:val="single"/>
        </w:rPr>
        <w:t>miscalculation</w:t>
      </w:r>
      <w:r w:rsidRPr="00FD57E1">
        <w:t xml:space="preserve"> </w:t>
      </w:r>
      <w:r w:rsidRPr="00FD57E1">
        <w:rPr>
          <w:color w:val="A6A6A6" w:themeColor="background1" w:themeShade="A6"/>
          <w:sz w:val="12"/>
        </w:rPr>
        <w:t>(Fearon 1995). Alternatively, even a relatively certain redistribution of power could lead to a permissive environment for conflicts as</w:t>
      </w:r>
      <w:r w:rsidRPr="00FD57E1">
        <w:t xml:space="preserve"> </w:t>
      </w:r>
      <w:r w:rsidRPr="00FD57E1">
        <w:rPr>
          <w:b/>
          <w:u w:val="single"/>
        </w:rPr>
        <w:t>a rising power may</w:t>
      </w:r>
      <w:r w:rsidRPr="001B073F">
        <w:rPr>
          <w:color w:val="A6A6A6" w:themeColor="background1" w:themeShade="A6"/>
          <w:sz w:val="12"/>
        </w:rPr>
        <w:t xml:space="preserve"> seek to </w:t>
      </w:r>
      <w:r w:rsidRPr="00FD57E1">
        <w:rPr>
          <w:b/>
          <w:u w:val="single"/>
        </w:rPr>
        <w:t>challenge a declining power</w:t>
      </w:r>
      <w:r w:rsidRPr="00FD57E1">
        <w:t xml:space="preserve"> </w:t>
      </w:r>
      <w:r w:rsidRPr="00FD57E1">
        <w:rPr>
          <w:color w:val="A6A6A6" w:themeColor="background1" w:themeShade="A6"/>
          <w:sz w:val="12"/>
        </w:rPr>
        <w:t>(Werner,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D57E1">
        <w:t xml:space="preserve"> </w:t>
      </w:r>
      <w:r w:rsidRPr="00FD57E1">
        <w:rPr>
          <w:b/>
          <w:u w:val="single"/>
        </w:rPr>
        <w:t>if</w:t>
      </w:r>
      <w:r w:rsidRPr="00FD57E1">
        <w:t xml:space="preserve"> </w:t>
      </w:r>
      <w:r w:rsidRPr="00FD57E1">
        <w:rPr>
          <w:color w:val="A6A6A6" w:themeColor="background1" w:themeShade="A6"/>
          <w:sz w:val="12"/>
        </w:rPr>
        <w:t>the</w:t>
      </w:r>
      <w:r w:rsidRPr="00FD57E1">
        <w:t xml:space="preserve"> </w:t>
      </w:r>
      <w:r w:rsidRPr="00FD57E1">
        <w:rPr>
          <w:b/>
          <w:u w:val="single"/>
        </w:rPr>
        <w:t>expectations of future trade decline</w:t>
      </w:r>
      <w:r w:rsidRPr="00FD57E1">
        <w:rPr>
          <w:color w:val="A6A6A6" w:themeColor="background1" w:themeShade="A6"/>
          <w:sz w:val="12"/>
        </w:rPr>
        <w:t>, particularly for difficult to replace item such as energy resources, the likelihood for</w:t>
      </w:r>
      <w:r w:rsidRPr="00FD57E1">
        <w:t xml:space="preserve"> </w:t>
      </w:r>
      <w:r w:rsidRPr="00FD57E1">
        <w:rPr>
          <w:b/>
          <w:u w:val="single"/>
        </w:rPr>
        <w:t>conflict increases</w:t>
      </w:r>
      <w:r w:rsidRPr="00FD57E1">
        <w:rPr>
          <w:color w:val="A6A6A6" w:themeColor="background1" w:themeShade="A6"/>
          <w:sz w:val="12"/>
        </w:rPr>
        <w:t xml:space="preserve">, as states will be inclined to use force to gain access to those resources. </w:t>
      </w:r>
      <w:r w:rsidRPr="00FD57E1">
        <w:rPr>
          <w:bCs/>
          <w:color w:val="A6A6A6" w:themeColor="background1" w:themeShade="A6"/>
          <w:sz w:val="12"/>
        </w:rPr>
        <w:t xml:space="preserve">Crises could potentially be the trigger for decreased trade expectations either on its own or because it triggers protectionist moves by interdependent states. </w:t>
      </w:r>
      <w:r w:rsidRPr="00FD57E1">
        <w:rPr>
          <w:color w:val="A6A6A6" w:themeColor="background1" w:themeShade="A6"/>
          <w:sz w:val="12"/>
        </w:rPr>
        <w:t>Third, others have considered the link between economic decline and external armed conflict at a national level. Blomberg and Hess (2002) find a strong correlation between internal conflict and external conflict, particularly during periods of economic downturn. They write, The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(Blomberg and Hess, 2002, p. 89) Economic</w:t>
      </w:r>
      <w:r w:rsidRPr="00FD57E1">
        <w:rPr>
          <w:b/>
          <w:u w:val="single"/>
        </w:rPr>
        <w:t xml:space="preserve"> decline has also been linked with</w:t>
      </w:r>
      <w:r w:rsidRPr="00FD57E1">
        <w:t xml:space="preserve"> </w:t>
      </w:r>
      <w:r w:rsidRPr="00FD57E1">
        <w:rPr>
          <w:color w:val="A6A6A6" w:themeColor="background1" w:themeShade="A6"/>
          <w:sz w:val="12"/>
        </w:rPr>
        <w:t>an increase in the likelihood of</w:t>
      </w:r>
      <w:r w:rsidRPr="00FD57E1">
        <w:t xml:space="preserve"> </w:t>
      </w:r>
      <w:r w:rsidRPr="00FD57E1">
        <w:rPr>
          <w:b/>
          <w:u w:val="single"/>
        </w:rPr>
        <w:t>terrorism</w:t>
      </w:r>
      <w:r w:rsidRPr="00FD57E1">
        <w:t xml:space="preserve"> </w:t>
      </w:r>
      <w:r w:rsidRPr="00FD57E1">
        <w:rPr>
          <w:color w:val="A6A6A6" w:themeColor="background1" w:themeShade="A6"/>
          <w:sz w:val="12"/>
        </w:rPr>
        <w:t>(Blomberg, H</w:t>
      </w:r>
      <w:r w:rsidRPr="001B073F">
        <w:rPr>
          <w:color w:val="A6A6A6" w:themeColor="background1" w:themeShade="A6"/>
          <w:sz w:val="12"/>
        </w:rPr>
        <w:t xml:space="preserve">ess and Weerapana, 2004), which has the capacity to spill across borders and lead to external tensions. Furthermore, crises generally reduce the popularity of a sitting government. “Diversionary theory” suggests that, when facing unpopularity arising from economic decline, </w:t>
      </w:r>
      <w:r w:rsidRPr="00FD57E1">
        <w:rPr>
          <w:color w:val="A6A6A6" w:themeColor="background1" w:themeShade="A6"/>
          <w:sz w:val="12"/>
        </w:rPr>
        <w:t>sitting</w:t>
      </w:r>
      <w:r w:rsidRPr="00FD57E1">
        <w:t xml:space="preserve"> </w:t>
      </w:r>
      <w:r w:rsidRPr="00FD57E1">
        <w:rPr>
          <w:b/>
          <w:u w:val="single"/>
        </w:rPr>
        <w:t>governments have</w:t>
      </w:r>
      <w:r w:rsidRPr="00FD57E1">
        <w:rPr>
          <w:color w:val="A6A6A6" w:themeColor="background1" w:themeShade="A6"/>
          <w:sz w:val="12"/>
        </w:rPr>
        <w:t xml:space="preserve"> increased</w:t>
      </w:r>
      <w:r w:rsidRPr="00FD57E1">
        <w:rPr>
          <w:b/>
          <w:color w:val="A6A6A6" w:themeColor="background1" w:themeShade="A6"/>
          <w:sz w:val="12"/>
          <w:u w:val="single"/>
        </w:rPr>
        <w:t xml:space="preserve"> </w:t>
      </w:r>
      <w:r w:rsidRPr="00FD57E1">
        <w:rPr>
          <w:b/>
          <w:u w:val="single"/>
        </w:rPr>
        <w:t>incentive</w:t>
      </w:r>
      <w:r w:rsidRPr="00FD57E1">
        <w:rPr>
          <w:color w:val="A6A6A6" w:themeColor="background1" w:themeShade="A6"/>
          <w:sz w:val="12"/>
        </w:rPr>
        <w:t>s</w:t>
      </w:r>
      <w:r w:rsidRPr="00FD57E1">
        <w:t xml:space="preserve"> </w:t>
      </w:r>
      <w:r w:rsidRPr="00FD57E1">
        <w:rPr>
          <w:b/>
          <w:u w:val="single"/>
        </w:rPr>
        <w:t>to fabricate</w:t>
      </w:r>
      <w:r w:rsidRPr="00FD57E1">
        <w:t xml:space="preserve"> </w:t>
      </w:r>
      <w:r w:rsidRPr="00FD57E1">
        <w:rPr>
          <w:color w:val="A6A6A6" w:themeColor="background1" w:themeShade="A6"/>
          <w:sz w:val="12"/>
        </w:rPr>
        <w:t>external military</w:t>
      </w:r>
      <w:r w:rsidRPr="00FD57E1">
        <w:t xml:space="preserve"> </w:t>
      </w:r>
      <w:r w:rsidRPr="00FD57E1">
        <w:rPr>
          <w:b/>
          <w:u w:val="single"/>
        </w:rPr>
        <w:t>conflict</w:t>
      </w:r>
      <w:r w:rsidRPr="00FD57E1">
        <w:rPr>
          <w:color w:val="A6A6A6" w:themeColor="background1" w:themeShade="A6"/>
          <w:sz w:val="12"/>
        </w:rPr>
        <w:t>s</w:t>
      </w:r>
      <w:r w:rsidRPr="00FD57E1">
        <w:t xml:space="preserve"> </w:t>
      </w:r>
      <w:r w:rsidRPr="00FD57E1">
        <w:rPr>
          <w:b/>
          <w:u w:val="single"/>
        </w:rPr>
        <w:t>to create a “rally around the flag” effect</w:t>
      </w:r>
      <w:r w:rsidRPr="00FD57E1">
        <w:t xml:space="preserve">. </w:t>
      </w:r>
      <w:r w:rsidRPr="00FD57E1">
        <w:rPr>
          <w:color w:val="A6A6A6" w:themeColor="background1" w:themeShade="A6"/>
          <w:sz w:val="12"/>
        </w:rPr>
        <w:t xml:space="preserve">Wang (1996), DeRouen (1995) and Blomberg, Hess and Thacker (2006) find supporting evidence showing that economic decline and use of force are at least indirectly correlated. Gelpi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DeRouen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EB604C" w:rsidRDefault="00EB604C" w:rsidP="00CE4A2D"/>
    <w:p w:rsidR="006D4B48" w:rsidRPr="007A2C5B" w:rsidRDefault="006D4B48" w:rsidP="006D4B48">
      <w:r w:rsidRPr="00261704">
        <w:t>Existential risk outweighs every other impact by orders of magnitude because of the lost potential for future generations.</w:t>
      </w:r>
      <w:r w:rsidRPr="00261704">
        <w:rPr>
          <w:b/>
        </w:rPr>
        <w:t xml:space="preserve"> </w:t>
      </w:r>
      <w:r w:rsidRPr="007A2C5B">
        <w:rPr>
          <w:b/>
          <w:u w:val="single"/>
        </w:rPr>
        <w:t>Bostrom 11</w:t>
      </w:r>
      <w:r w:rsidRPr="007A2C5B">
        <w:rPr>
          <w:sz w:val="20"/>
          <w:vertAlign w:val="superscript"/>
        </w:rPr>
        <w:footnoteReference w:id="17"/>
      </w:r>
    </w:p>
    <w:p w:rsidR="006D4B48" w:rsidRPr="007A2C5B" w:rsidRDefault="006D4B48" w:rsidP="006D4B48">
      <w:pPr>
        <w:rPr>
          <w:sz w:val="12"/>
        </w:rPr>
      </w:pPr>
    </w:p>
    <w:p w:rsidR="006D4B48" w:rsidRPr="007A2C5B" w:rsidRDefault="006D4B48" w:rsidP="006D4B48">
      <w:pPr>
        <w:pBdr>
          <w:top w:val="single" w:sz="4" w:space="1" w:color="auto"/>
          <w:left w:val="single" w:sz="4" w:space="4" w:color="auto"/>
          <w:bottom w:val="single" w:sz="4" w:space="1" w:color="auto"/>
          <w:right w:val="single" w:sz="4" w:space="4" w:color="auto"/>
        </w:pBdr>
        <w:rPr>
          <w:i/>
          <w:u w:val="single"/>
        </w:rPr>
      </w:pPr>
      <w:r w:rsidRPr="007A2C5B">
        <w:rPr>
          <w:color w:val="A6A6A6" w:themeColor="background1" w:themeShade="A6"/>
          <w:sz w:val="12"/>
        </w:rPr>
        <w:t xml:space="preserve">Even if we use </w:t>
      </w:r>
      <w:r w:rsidRPr="007A2C5B">
        <w:rPr>
          <w:b/>
          <w:u w:val="single"/>
        </w:rPr>
        <w:t>the most conservative</w:t>
      </w:r>
      <w:r w:rsidRPr="007A2C5B">
        <w:rPr>
          <w:color w:val="A6A6A6"/>
          <w:sz w:val="12"/>
        </w:rPr>
        <w:t xml:space="preserve"> of these </w:t>
      </w:r>
      <w:r w:rsidRPr="007A2C5B">
        <w:rPr>
          <w:b/>
          <w:u w:val="single"/>
        </w:rPr>
        <w:t>estimates,</w:t>
      </w:r>
      <w:r w:rsidRPr="007A2C5B">
        <w:rPr>
          <w:color w:val="A6A6A6"/>
          <w:sz w:val="12"/>
        </w:rPr>
        <w:t xml:space="preserve"> which entirely ignores the possibility of space colonization and software minds, we </w:t>
      </w:r>
      <w:r w:rsidRPr="007A2C5B">
        <w:rPr>
          <w:b/>
          <w:u w:val="single"/>
        </w:rPr>
        <w:t>find that the expected loss of an existential catastrophe is greater than</w:t>
      </w:r>
      <w:r w:rsidRPr="007A2C5B">
        <w:rPr>
          <w:color w:val="A6A6A6"/>
          <w:sz w:val="12"/>
        </w:rPr>
        <w:t xml:space="preserve"> </w:t>
      </w:r>
      <w:r w:rsidRPr="007A2C5B">
        <w:rPr>
          <w:color w:val="A6A6A6"/>
          <w:sz w:val="12"/>
        </w:rPr>
        <w:lastRenderedPageBreak/>
        <w:t>the value of</w:t>
      </w:r>
      <w:r w:rsidRPr="007A2C5B">
        <w:rPr>
          <w:u w:val="single"/>
        </w:rPr>
        <w:t xml:space="preserve"> </w:t>
      </w:r>
      <w:r w:rsidRPr="007A2C5B">
        <w:rPr>
          <w:b/>
          <w:u w:val="single"/>
        </w:rPr>
        <w:t>10</w:t>
      </w:r>
      <w:r w:rsidRPr="007A2C5B">
        <w:rPr>
          <w:b/>
          <w:u w:val="single"/>
          <w:vertAlign w:val="superscript"/>
        </w:rPr>
        <w:t>18</w:t>
      </w:r>
      <w:r w:rsidRPr="007A2C5B">
        <w:rPr>
          <w:b/>
          <w:u w:val="single"/>
        </w:rPr>
        <w:t> human lives.  This implies that</w:t>
      </w:r>
      <w:r w:rsidRPr="007A2C5B">
        <w:rPr>
          <w:color w:val="A6A6A6" w:themeColor="background1" w:themeShade="A6"/>
          <w:sz w:val="12"/>
        </w:rPr>
        <w:t xml:space="preserve"> the expected value of </w:t>
      </w:r>
      <w:r w:rsidRPr="007A2C5B">
        <w:rPr>
          <w:b/>
          <w:u w:val="single"/>
        </w:rPr>
        <w:t>reducing existential risk by a mere one millionth of one percentage point is at least ten times the value of a billion human lives.</w:t>
      </w:r>
      <w:r w:rsidRPr="007A2C5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7A2C5B">
        <w:rPr>
          <w:iCs/>
          <w:color w:val="A6A6A6" w:themeColor="background1" w:themeShade="A6"/>
          <w:sz w:val="12"/>
        </w:rPr>
        <w:t>one billionth of one billionth of one percentage point</w:t>
      </w:r>
      <w:r w:rsidRPr="007A2C5B">
        <w:rPr>
          <w:color w:val="A6A6A6" w:themeColor="background1" w:themeShade="A6"/>
          <w:sz w:val="12"/>
        </w:rPr>
        <w:t> is worth a hundred billion times as much as a billion human lives.</w:t>
      </w:r>
    </w:p>
    <w:p w:rsidR="006D4B48" w:rsidRDefault="006D4B48" w:rsidP="006D4B48"/>
    <w:p w:rsidR="006D4B48" w:rsidRPr="00AA6A7B" w:rsidRDefault="006D4B48" w:rsidP="00261704">
      <w:pPr>
        <w:rPr>
          <w:rFonts w:eastAsia="Calibri" w:cs="Times New Roman"/>
          <w:szCs w:val="22"/>
        </w:rPr>
      </w:pPr>
      <w:r w:rsidRPr="00261704">
        <w:t xml:space="preserve">Moral uncertainty is high now, but there’s room for improvement. </w:t>
      </w:r>
      <w:r w:rsidRPr="00AA6A7B">
        <w:rPr>
          <w:rFonts w:eastAsia="Calibri" w:cs="Times New Roman"/>
          <w:b/>
          <w:szCs w:val="22"/>
          <w:u w:val="single"/>
        </w:rPr>
        <w:t>Parfit 84</w:t>
      </w:r>
      <w:r w:rsidRPr="00AA6A7B">
        <w:rPr>
          <w:rFonts w:eastAsia="Calibri" w:cs="Times New Roman"/>
          <w:szCs w:val="22"/>
        </w:rPr>
        <w:t xml:space="preserve"> writes</w:t>
      </w:r>
      <w:r w:rsidRPr="00AA6A7B">
        <w:rPr>
          <w:rFonts w:eastAsia="Calibri" w:cs="Times New Roman"/>
          <w:szCs w:val="22"/>
          <w:vertAlign w:val="superscript"/>
        </w:rPr>
        <w:footnoteReference w:id="18"/>
      </w:r>
    </w:p>
    <w:p w:rsidR="006D4B48" w:rsidRPr="00AA6A7B" w:rsidRDefault="006D4B48" w:rsidP="006D4B48">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AA6A7B">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Before the recent past, very few. In most civilizations, </w:t>
      </w:r>
      <w:r w:rsidRPr="00AA6A7B">
        <w:rPr>
          <w:rFonts w:eastAsia="Calibri" w:cs="Times New Roman"/>
          <w:b/>
          <w:szCs w:val="22"/>
          <w:u w:val="single"/>
        </w:rPr>
        <w:t>most people have believed in</w:t>
      </w:r>
      <w:r w:rsidRPr="00AA6A7B">
        <w:rPr>
          <w:rFonts w:eastAsia="Calibri" w:cs="Times New Roman"/>
          <w:color w:val="A6A6A6"/>
          <w:sz w:val="12"/>
          <w:szCs w:val="22"/>
        </w:rPr>
        <w:t xml:space="preserve"> the existence of a </w:t>
      </w:r>
      <w:r w:rsidRPr="00AA6A7B">
        <w:rPr>
          <w:rFonts w:eastAsia="Calibri" w:cs="Times New Roman"/>
          <w:b/>
          <w:szCs w:val="22"/>
          <w:u w:val="single"/>
        </w:rPr>
        <w:t>God</w:t>
      </w:r>
      <w:r w:rsidRPr="00AA6A7B">
        <w:rPr>
          <w:rFonts w:eastAsia="Calibri" w:cs="Times New Roman"/>
          <w:color w:val="A6A6A6"/>
          <w:sz w:val="12"/>
          <w:szCs w:val="22"/>
        </w:rPr>
        <w:t xml:space="preserve">, or of several gods. A large minority were in fact Atheists, whatever they pretended. But, </w:t>
      </w:r>
      <w:r w:rsidRPr="00AA6A7B">
        <w:rPr>
          <w:rFonts w:eastAsia="Calibri" w:cs="Times New Roman"/>
          <w:b/>
          <w:szCs w:val="22"/>
          <w:u w:val="single"/>
        </w:rPr>
        <w:t>before the recent past, very few Atheists made Ethics their life’s work.</w:t>
      </w:r>
      <w:r w:rsidRPr="00AA6A7B">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Sidgwick was another. </w:t>
      </w:r>
      <w:r w:rsidRPr="00AA6A7B">
        <w:rPr>
          <w:rFonts w:eastAsia="Calibri" w:cs="Times New Roman"/>
          <w:b/>
          <w:szCs w:val="22"/>
          <w:u w:val="single"/>
        </w:rPr>
        <w:t>After Sidgwick,</w:t>
      </w:r>
      <w:r w:rsidRPr="00AA6A7B">
        <w:rPr>
          <w:rFonts w:eastAsia="Calibri" w:cs="Times New Roman"/>
          <w:color w:val="A6A6A6"/>
          <w:sz w:val="12"/>
          <w:szCs w:val="22"/>
        </w:rPr>
        <w:t xml:space="preserve"> there were several </w:t>
      </w:r>
      <w:r w:rsidRPr="00AA6A7B">
        <w:rPr>
          <w:rFonts w:eastAsia="Calibri" w:cs="Times New Roman"/>
          <w:b/>
          <w:szCs w:val="22"/>
          <w:u w:val="single"/>
        </w:rPr>
        <w:t>atheists</w:t>
      </w:r>
      <w:r w:rsidRPr="00AA6A7B">
        <w:rPr>
          <w:rFonts w:eastAsia="Calibri" w:cs="Times New Roman"/>
          <w:color w:val="A6A6A6"/>
          <w:sz w:val="12"/>
          <w:szCs w:val="22"/>
        </w:rPr>
        <w:t xml:space="preserve"> who were professional moral philosophers. But most of these </w:t>
      </w:r>
      <w:r w:rsidRPr="00AA6A7B">
        <w:rPr>
          <w:rFonts w:eastAsia="Calibri" w:cs="Times New Roman"/>
          <w:b/>
          <w:szCs w:val="22"/>
          <w:u w:val="single"/>
        </w:rPr>
        <w:t>did not do Ethics. They did Meta-Ethics.</w:t>
      </w:r>
      <w:r w:rsidRPr="00AA6A7B">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AA6A7B">
        <w:rPr>
          <w:rFonts w:eastAsia="Calibri" w:cs="Times New Roman"/>
          <w:b/>
          <w:szCs w:val="22"/>
          <w:u w:val="single"/>
        </w:rPr>
        <w:t>Non-Religious Ethics has been systematically studied</w:t>
      </w:r>
      <w:r w:rsidRPr="00AA6A7B">
        <w:rPr>
          <w:rFonts w:eastAsia="Calibri" w:cs="Times New Roman"/>
          <w:color w:val="A6A6A6"/>
          <w:sz w:val="12"/>
          <w:szCs w:val="22"/>
        </w:rPr>
        <w:t xml:space="preserve">, by many people, </w:t>
      </w:r>
      <w:r w:rsidRPr="00AA6A7B">
        <w:rPr>
          <w:rFonts w:eastAsia="Calibri" w:cs="Times New Roman"/>
          <w:b/>
          <w:szCs w:val="22"/>
          <w:u w:val="single"/>
        </w:rPr>
        <w:t>only since the</w:t>
      </w:r>
      <w:r w:rsidRPr="00AA6A7B">
        <w:rPr>
          <w:rFonts w:eastAsia="Calibri" w:cs="Times New Roman"/>
          <w:color w:val="A6A6A6"/>
          <w:sz w:val="12"/>
          <w:szCs w:val="22"/>
        </w:rPr>
        <w:t xml:space="preserve"> 19</w:t>
      </w:r>
      <w:r w:rsidRPr="00AA6A7B">
        <w:rPr>
          <w:rFonts w:eastAsia="Calibri" w:cs="Times New Roman"/>
          <w:b/>
          <w:szCs w:val="22"/>
          <w:u w:val="single"/>
        </w:rPr>
        <w:t>60s. Compared with the other sciences</w:t>
      </w:r>
      <w:r w:rsidRPr="00AA6A7B">
        <w:rPr>
          <w:rFonts w:eastAsia="Calibri" w:cs="Times New Roman"/>
          <w:color w:val="A6A6A6"/>
          <w:sz w:val="12"/>
          <w:szCs w:val="22"/>
        </w:rPr>
        <w:t xml:space="preserve">, Non-Religious </w:t>
      </w:r>
      <w:r w:rsidRPr="00AA6A7B">
        <w:rPr>
          <w:rFonts w:eastAsia="Calibri" w:cs="Times New Roman"/>
          <w:b/>
          <w:szCs w:val="22"/>
          <w:u w:val="single"/>
        </w:rPr>
        <w:t>Ethics is</w:t>
      </w:r>
      <w:r w:rsidRPr="00AA6A7B">
        <w:rPr>
          <w:rFonts w:eastAsia="Calibri" w:cs="Times New Roman"/>
          <w:color w:val="A6A6A6"/>
          <w:sz w:val="12"/>
          <w:szCs w:val="22"/>
        </w:rPr>
        <w:t xml:space="preserve"> the youngest and </w:t>
      </w:r>
      <w:r w:rsidRPr="00AA6A7B">
        <w:rPr>
          <w:rFonts w:eastAsia="Calibri" w:cs="Times New Roman"/>
          <w:b/>
          <w:szCs w:val="22"/>
          <w:u w:val="single"/>
        </w:rPr>
        <w:t>the least advanced.</w:t>
      </w:r>
    </w:p>
    <w:p w:rsidR="006D4B48" w:rsidRPr="00AA6A7B" w:rsidRDefault="006D4B48" w:rsidP="006D4B48">
      <w:pPr>
        <w:ind w:right="-1"/>
        <w:rPr>
          <w:rFonts w:eastAsia="Calibri" w:cs="Times New Roman"/>
          <w:szCs w:val="22"/>
        </w:rPr>
      </w:pPr>
    </w:p>
    <w:p w:rsidR="006D4B48" w:rsidRPr="00F77FC1" w:rsidRDefault="006D4B48" w:rsidP="006D4B48">
      <w:r>
        <w:t xml:space="preserve">Adopt a parliamentary model to account for moral uncertainty. This entails minimizing existential risks. </w:t>
      </w:r>
      <w:r>
        <w:rPr>
          <w:b/>
          <w:u w:val="single"/>
        </w:rPr>
        <w:t>Bostrom 9</w:t>
      </w:r>
      <w:r>
        <w:t xml:space="preserve"> writes</w:t>
      </w:r>
      <w:r>
        <w:rPr>
          <w:rStyle w:val="FootnoteReference"/>
        </w:rPr>
        <w:footnoteReference w:id="19"/>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seems people are overconfident about their moral beliefs.  But </w:t>
      </w:r>
      <w:r w:rsidRPr="00AA6A7B">
        <w:rPr>
          <w:b/>
          <w:u w:val="single"/>
        </w:rPr>
        <w:t>how should one</w:t>
      </w:r>
      <w:r w:rsidRPr="00AA6A7B">
        <w:rPr>
          <w:color w:val="A6A6A6" w:themeColor="background1" w:themeShade="A6"/>
          <w:sz w:val="12"/>
        </w:rPr>
        <w:t xml:space="preserve"> reason and </w:t>
      </w:r>
      <w:r w:rsidRPr="00AA6A7B">
        <w:rPr>
          <w:b/>
          <w:u w:val="single"/>
        </w:rPr>
        <w:t>act if one</w:t>
      </w:r>
      <w:r w:rsidRPr="00AA6A7B">
        <w:rPr>
          <w:color w:val="A6A6A6" w:themeColor="background1" w:themeShade="A6"/>
          <w:sz w:val="12"/>
        </w:rPr>
        <w:t xml:space="preserve"> acknowledges that one </w:t>
      </w:r>
      <w:r w:rsidRPr="00AA6A7B">
        <w:rPr>
          <w:b/>
          <w:u w:val="single"/>
        </w:rPr>
        <w:t>is uncertain about morality</w:t>
      </w:r>
      <w:r w:rsidRPr="00AA6A7B">
        <w:rPr>
          <w:color w:val="A6A6A6" w:themeColor="background1" w:themeShade="A6"/>
          <w:sz w:val="12"/>
        </w:rPr>
        <w:t xml:space="preserve"> – not just applied ethics but fundamental moral issues? if you don't know which moral theory is correct?</w:t>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doesn't seem </w:t>
      </w:r>
      <w:r w:rsidRPr="00184594">
        <w:rPr>
          <w:b/>
          <w:u w:val="single"/>
        </w:rPr>
        <w:t>you can</w:t>
      </w:r>
      <w:r>
        <w:rPr>
          <w:b/>
          <w:u w:val="single"/>
        </w:rPr>
        <w:t>[’t]</w:t>
      </w:r>
      <w:r w:rsidRPr="00184594">
        <w:rPr>
          <w:b/>
          <w:u w:val="single"/>
        </w:rPr>
        <w:t xml:space="preserve"> simply plug your uncertainty into expected utility</w:t>
      </w:r>
      <w:r w:rsidRPr="00184594">
        <w:rPr>
          <w:color w:val="A6A6A6" w:themeColor="background1" w:themeShade="A6"/>
          <w:sz w:val="12"/>
        </w:rPr>
        <w:t xml:space="preserve"> decision theory and crank the wheel; </w:t>
      </w:r>
      <w:r w:rsidRPr="00184594">
        <w:rPr>
          <w:b/>
          <w:u w:val="single"/>
        </w:rPr>
        <w:t>because many</w:t>
      </w:r>
      <w:r w:rsidRPr="00184594">
        <w:rPr>
          <w:color w:val="A6A6A6" w:themeColor="background1" w:themeShade="A6"/>
          <w:sz w:val="12"/>
        </w:rPr>
        <w:t xml:space="preserve"> moral </w:t>
      </w:r>
      <w:r w:rsidRPr="00184594">
        <w:rPr>
          <w:b/>
          <w:u w:val="single"/>
        </w:rPr>
        <w:t>theories</w:t>
      </w:r>
      <w:r w:rsidRPr="00184594">
        <w:rPr>
          <w:color w:val="A6A6A6" w:themeColor="background1" w:themeShade="A6"/>
          <w:sz w:val="12"/>
        </w:rPr>
        <w:t xml:space="preserve"> state that you </w:t>
      </w:r>
      <w:r w:rsidRPr="00184594">
        <w:rPr>
          <w:b/>
          <w:u w:val="single"/>
        </w:rPr>
        <w:t>should not</w:t>
      </w:r>
      <w:r w:rsidRPr="00184594">
        <w:rPr>
          <w:color w:val="A6A6A6" w:themeColor="background1" w:themeShade="A6"/>
          <w:sz w:val="12"/>
        </w:rPr>
        <w:t xml:space="preserve"> always </w:t>
      </w:r>
      <w:r w:rsidRPr="00184594">
        <w:rPr>
          <w:b/>
          <w:u w:val="single"/>
        </w:rPr>
        <w:t>maximize</w:t>
      </w:r>
      <w:r w:rsidRPr="00184594">
        <w:rPr>
          <w:color w:val="A6A6A6" w:themeColor="background1" w:themeShade="A6"/>
          <w:sz w:val="12"/>
        </w:rPr>
        <w:t xml:space="preserve"> expected </w:t>
      </w:r>
      <w:r w:rsidRPr="00184594">
        <w:rPr>
          <w:b/>
          <w:u w:val="single"/>
        </w:rPr>
        <w:t>utility.</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Even if we limit consideration to consequentialist theories, it still is hard to see how to combine them in the standard decision theoretic framework.  For example, suppose you give X% probability to total utilitarianism and (100-X)% to </w:t>
      </w:r>
      <w:r w:rsidRPr="00184594">
        <w:rPr>
          <w:color w:val="A6A6A6" w:themeColor="background1" w:themeShade="A6"/>
          <w:sz w:val="12"/>
        </w:rPr>
        <w:t>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A6A7B">
        <w:rPr>
          <w:b/>
          <w:u w:val="single"/>
        </w:rPr>
        <w:t>we have managed</w:t>
      </w:r>
      <w:r w:rsidRPr="00184594">
        <w:rPr>
          <w:color w:val="A6A6A6" w:themeColor="background1" w:themeShade="A6"/>
          <w:sz w:val="12"/>
        </w:rPr>
        <w:t xml:space="preserve"> so far is </w:t>
      </w:r>
      <w:r w:rsidRPr="00AA6A7B">
        <w:rPr>
          <w:b/>
          <w:u w:val="single"/>
        </w:rPr>
        <w:t>a</w:t>
      </w:r>
      <w:r w:rsidRPr="00184594">
        <w:rPr>
          <w:color w:val="A6A6A6" w:themeColor="background1" w:themeShade="A6"/>
          <w:sz w:val="12"/>
        </w:rPr>
        <w:t xml:space="preserve"> kind of </w:t>
      </w:r>
      <w:r w:rsidRPr="00AA6A7B">
        <w:rPr>
          <w:b/>
          <w:u w:val="single"/>
        </w:rPr>
        <w:t>metaphor, whic</w:t>
      </w:r>
      <w:r w:rsidRPr="00184594">
        <w:rPr>
          <w:b/>
          <w:u w:val="single"/>
        </w:rPr>
        <w:t>h</w:t>
      </w:r>
      <w:r w:rsidRPr="00AA6A7B">
        <w:rPr>
          <w:color w:val="A6A6A6" w:themeColor="background1" w:themeShade="A6"/>
          <w:sz w:val="12"/>
        </w:rPr>
        <w:t xml:space="preserve"> we don't think is literally and exactly correct, and it is a bit under-determined, but it </w:t>
      </w:r>
      <w:r w:rsidRPr="00AA6A7B">
        <w:rPr>
          <w:b/>
          <w:u w:val="single"/>
        </w:rPr>
        <w:t>seems to get things roughly right</w:t>
      </w:r>
      <w:r w:rsidRPr="00AA6A7B">
        <w:rPr>
          <w:color w:val="A6A6A6" w:themeColor="background1" w:themeShade="A6"/>
          <w:sz w:val="12"/>
        </w:rPr>
        <w:t xml:space="preserve"> and it might point in the right direction: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b/>
          <w:u w:val="single"/>
        </w:rPr>
        <w:t>The Parliamentary Model.</w:t>
      </w:r>
      <w:r w:rsidRPr="00AA6A7B">
        <w:rPr>
          <w:color w:val="A6A6A6" w:themeColor="background1" w:themeShade="A6"/>
          <w:sz w:val="12"/>
        </w:rPr>
        <w:t xml:space="preserve">  </w:t>
      </w:r>
      <w:r w:rsidRPr="00184594">
        <w:rPr>
          <w:color w:val="A6A6A6" w:themeColor="background1" w:themeShade="A6"/>
          <w:sz w:val="12"/>
        </w:rPr>
        <w:t xml:space="preserve">Suppose that you have a set of mutually exclusive moral theories, and that you assign each of these some probability.  Now imagine that </w:t>
      </w:r>
      <w:r w:rsidRPr="00AA6A7B">
        <w:rPr>
          <w:b/>
          <w:u w:val="single"/>
        </w:rPr>
        <w:t>each</w:t>
      </w:r>
      <w:r w:rsidRPr="00AA6A7B">
        <w:rPr>
          <w:color w:val="A6A6A6" w:themeColor="background1" w:themeShade="A6"/>
          <w:sz w:val="12"/>
        </w:rPr>
        <w:t xml:space="preserve"> of these </w:t>
      </w:r>
      <w:r w:rsidRPr="00AA6A7B">
        <w:rPr>
          <w:b/>
          <w:u w:val="single"/>
        </w:rPr>
        <w:t>theorie</w:t>
      </w:r>
      <w:r w:rsidRPr="00AA6A7B">
        <w:rPr>
          <w:color w:val="A6A6A6" w:themeColor="background1" w:themeShade="A6"/>
          <w:sz w:val="12"/>
        </w:rPr>
        <w:t xml:space="preserve">s </w:t>
      </w:r>
      <w:r w:rsidRPr="00AA6A7B">
        <w:rPr>
          <w:b/>
          <w:u w:val="single"/>
        </w:rPr>
        <w:t>gets to send</w:t>
      </w:r>
      <w:r w:rsidRPr="00184594">
        <w:rPr>
          <w:color w:val="A6A6A6" w:themeColor="background1" w:themeShade="A6"/>
          <w:sz w:val="12"/>
        </w:rPr>
        <w:t xml:space="preserve"> some number of </w:t>
      </w:r>
      <w:r w:rsidRPr="00AA6A7B">
        <w:rPr>
          <w:b/>
          <w:u w:val="single"/>
        </w:rPr>
        <w:t>delegates to The Parliament</w:t>
      </w:r>
      <w:r w:rsidRPr="00184594">
        <w:rPr>
          <w:color w:val="A6A6A6" w:themeColor="background1" w:themeShade="A6"/>
          <w:sz w:val="12"/>
        </w:rPr>
        <w:t xml:space="preserve">.  The number of delegates each theory gets to send is </w:t>
      </w:r>
      <w:r w:rsidRPr="00AA6A7B">
        <w:rPr>
          <w:b/>
          <w:u w:val="single"/>
        </w:rPr>
        <w:t>proportional to the probability of the theory.</w:t>
      </w:r>
      <w:r w:rsidRPr="00184594">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idea here is that moral theories get more influence the more probable they are; yet </w:t>
      </w:r>
      <w:r w:rsidRPr="00AA6A7B">
        <w:rPr>
          <w:b/>
          <w:u w:val="single"/>
        </w:rPr>
        <w:t>even a</w:t>
      </w:r>
      <w:r w:rsidRPr="00184594">
        <w:rPr>
          <w:color w:val="A6A6A6" w:themeColor="background1" w:themeShade="A6"/>
          <w:sz w:val="12"/>
        </w:rPr>
        <w:t xml:space="preserve"> relatively </w:t>
      </w:r>
      <w:r w:rsidRPr="00AA6A7B">
        <w:rPr>
          <w:b/>
          <w:u w:val="single"/>
        </w:rPr>
        <w:t xml:space="preserve">weak theory can </w:t>
      </w:r>
      <w:r w:rsidRPr="00184594">
        <w:rPr>
          <w:b/>
          <w:u w:val="single"/>
        </w:rPr>
        <w:t>still get its way on some issues</w:t>
      </w:r>
      <w:r w:rsidRPr="00184594">
        <w:rPr>
          <w:color w:val="A6A6A6" w:themeColor="background1" w:themeShade="A6"/>
          <w:sz w:val="12"/>
        </w:rPr>
        <w:t xml:space="preserve"> that the theory think are extremely important </w:t>
      </w:r>
      <w:r w:rsidRPr="00184594">
        <w:rPr>
          <w:b/>
          <w:u w:val="single"/>
        </w:rPr>
        <w:t>by sacrificing</w:t>
      </w:r>
      <w:r w:rsidRPr="00184594">
        <w:rPr>
          <w:color w:val="A6A6A6" w:themeColor="background1" w:themeShade="A6"/>
          <w:sz w:val="12"/>
        </w:rPr>
        <w:t xml:space="preserve"> its influence </w:t>
      </w:r>
      <w:r w:rsidRPr="00184594">
        <w:rPr>
          <w:b/>
          <w:u w:val="single"/>
        </w:rPr>
        <w:t>on other</w:t>
      </w:r>
      <w:r w:rsidRPr="00184594">
        <w:rPr>
          <w:color w:val="A6A6A6" w:themeColor="background1" w:themeShade="A6"/>
          <w:sz w:val="4"/>
        </w:rPr>
        <w:t xml:space="preserve"> i</w:t>
      </w:r>
      <w:r w:rsidRPr="00184594">
        <w:rPr>
          <w:b/>
          <w:u w:val="single"/>
        </w:rPr>
        <w:t>s</w:t>
      </w:r>
      <w:r w:rsidRPr="00184594">
        <w:rPr>
          <w:color w:val="A6A6A6" w:themeColor="background1" w:themeShade="A6"/>
          <w:sz w:val="12"/>
        </w:rPr>
        <w:t xml:space="preserve">sues that other theories deem more important.  For example, </w:t>
      </w:r>
      <w:r w:rsidRPr="00AA6A7B">
        <w:rPr>
          <w:b/>
          <w:u w:val="single"/>
        </w:rPr>
        <w:t>suppose you assign 10% probability to</w:t>
      </w:r>
      <w:r w:rsidRPr="00184594">
        <w:rPr>
          <w:color w:val="A6A6A6" w:themeColor="background1" w:themeShade="A6"/>
          <w:sz w:val="12"/>
        </w:rPr>
        <w:t xml:space="preserve"> total </w:t>
      </w:r>
      <w:r w:rsidRPr="00AA6A7B">
        <w:rPr>
          <w:b/>
          <w:u w:val="single"/>
        </w:rPr>
        <w:t>util</w:t>
      </w:r>
      <w:r w:rsidRPr="00184594">
        <w:rPr>
          <w:color w:val="A6A6A6" w:themeColor="background1" w:themeShade="A6"/>
          <w:sz w:val="12"/>
        </w:rPr>
        <w:t xml:space="preserve">itarianism and 90% to moral egoism (just to illustrate the principle).  Then </w:t>
      </w:r>
      <w:r w:rsidRPr="00AA6A7B">
        <w:rPr>
          <w:b/>
          <w:u w:val="single"/>
        </w:rPr>
        <w:t>the Parliament</w:t>
      </w:r>
      <w:r w:rsidRPr="00184594">
        <w:rPr>
          <w:color w:val="A6A6A6" w:themeColor="background1" w:themeShade="A6"/>
          <w:sz w:val="12"/>
        </w:rPr>
        <w:t xml:space="preserve"> would mostly take actions that maximize egoistic satisfaction; however it </w:t>
      </w:r>
      <w:r w:rsidRPr="00AA6A7B">
        <w:rPr>
          <w:b/>
          <w:u w:val="single"/>
        </w:rPr>
        <w:t>would make some concessions to util</w:t>
      </w:r>
      <w:r w:rsidRPr="00184594">
        <w:rPr>
          <w:color w:val="A6A6A6" w:themeColor="background1" w:themeShade="A6"/>
          <w:sz w:val="12"/>
        </w:rPr>
        <w:t xml:space="preserve">itarianism </w:t>
      </w:r>
      <w:r w:rsidRPr="00AA6A7B">
        <w:rPr>
          <w:b/>
          <w:u w:val="single"/>
        </w:rPr>
        <w:t>on</w:t>
      </w:r>
      <w:r w:rsidRPr="00184594">
        <w:rPr>
          <w:color w:val="A6A6A6" w:themeColor="background1" w:themeShade="A6"/>
          <w:sz w:val="12"/>
        </w:rPr>
        <w:t xml:space="preserve"> issues that utilitarianism thinks is especially important.  In this example, the person might donate some portion of their income to </w:t>
      </w:r>
      <w:r w:rsidRPr="00AA6A7B">
        <w:rPr>
          <w:b/>
          <w:u w:val="single"/>
        </w:rPr>
        <w:t>existential risks</w:t>
      </w:r>
      <w:r w:rsidRPr="00184594">
        <w:rPr>
          <w:color w:val="A6A6A6" w:themeColor="background1" w:themeShade="A6"/>
          <w:sz w:val="12"/>
        </w:rPr>
        <w:t xml:space="preserve"> research and otherwise live completely selfishly.</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 think there might be wisdom in </w:t>
      </w:r>
      <w:r w:rsidRPr="00AA6A7B">
        <w:rPr>
          <w:b/>
          <w:u w:val="single"/>
        </w:rPr>
        <w:t>this model</w:t>
      </w:r>
      <w:r w:rsidRPr="00184594">
        <w:rPr>
          <w:color w:val="A6A6A6" w:themeColor="background1" w:themeShade="A6"/>
          <w:sz w:val="12"/>
        </w:rPr>
        <w:t xml:space="preserve">.  It </w:t>
      </w:r>
      <w:r w:rsidRPr="00AA6A7B">
        <w:rPr>
          <w:b/>
          <w:u w:val="single"/>
        </w:rPr>
        <w:t>avoids the</w:t>
      </w:r>
      <w:r w:rsidRPr="00184594">
        <w:rPr>
          <w:color w:val="A6A6A6" w:themeColor="background1" w:themeShade="A6"/>
          <w:sz w:val="12"/>
        </w:rPr>
        <w:t xml:space="preserve"> dangerous and </w:t>
      </w:r>
      <w:r w:rsidRPr="00AA6A7B">
        <w:rPr>
          <w:b/>
          <w:u w:val="single"/>
        </w:rPr>
        <w:t>unstable extremism</w:t>
      </w:r>
      <w:r w:rsidRPr="00184594">
        <w:rPr>
          <w:color w:val="A6A6A6" w:themeColor="background1" w:themeShade="A6"/>
          <w:sz w:val="12"/>
        </w:rPr>
        <w:t xml:space="preserve"> that would result </w:t>
      </w:r>
      <w:r w:rsidRPr="00AA6A7B">
        <w:rPr>
          <w:b/>
          <w:u w:val="single"/>
        </w:rPr>
        <w:t>from letting one’s current favorite moral theory completely dictate action</w:t>
      </w:r>
      <w:r w:rsidRPr="00184594">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6D4B48" w:rsidRPr="00031546" w:rsidRDefault="006D4B48" w:rsidP="006D4B48">
      <w:pPr>
        <w:tabs>
          <w:tab w:val="left" w:pos="1755"/>
        </w:tabs>
        <w:contextualSpacing/>
      </w:pPr>
      <w:r>
        <w:rPr>
          <w:bCs/>
        </w:rPr>
        <w:lastRenderedPageBreak/>
        <w:t xml:space="preserve">I don’t need to win that weighing values is possible. Extinction precludes all values, so it is wrong under any moral code. </w:t>
      </w:r>
      <w:r>
        <w:rPr>
          <w:b/>
          <w:bCs/>
          <w:u w:val="single"/>
        </w:rPr>
        <w:t>Seeley 86</w:t>
      </w:r>
      <w:r w:rsidRPr="00DD7693">
        <w:rPr>
          <w:rStyle w:val="FootnoteReference"/>
          <w:bCs/>
        </w:rPr>
        <w:footnoteReference w:id="20"/>
      </w:r>
    </w:p>
    <w:p w:rsidR="006D4B48" w:rsidRPr="00031546" w:rsidRDefault="006D4B48" w:rsidP="006D4B48">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DD7693">
        <w:rPr>
          <w:color w:val="A6A6A6" w:themeColor="background1" w:themeShade="A6"/>
          <w:sz w:val="12"/>
        </w:rPr>
        <w:t>In moral reasoni</w:t>
      </w:r>
      <w:r w:rsidRPr="00090C2B">
        <w:rPr>
          <w:color w:val="A6A6A6" w:themeColor="background1" w:themeShade="A6"/>
          <w:sz w:val="12"/>
        </w:rPr>
        <w:t xml:space="preserve">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090C2B">
        <w:rPr>
          <w:bCs/>
          <w:color w:val="A6A6A6" w:themeColor="background1" w:themeShade="A6"/>
          <w:sz w:val="12"/>
        </w:rPr>
        <w:t xml:space="preserve">Morally, however, </w:t>
      </w:r>
      <w:r w:rsidRPr="00031546">
        <w:rPr>
          <w:b/>
          <w:bCs/>
          <w:u w:val="single"/>
        </w:rPr>
        <w:t>human extinction is unlike any other risk. No conceivable human good could be worth</w:t>
      </w:r>
      <w:r w:rsidRPr="00DD7693">
        <w:rPr>
          <w:bCs/>
          <w:color w:val="A6A6A6" w:themeColor="background1" w:themeShade="A6"/>
          <w:sz w:val="12"/>
        </w:rPr>
        <w:t xml:space="preserve"> the </w:t>
      </w:r>
      <w:r w:rsidRPr="00031546">
        <w:rPr>
          <w:b/>
          <w:bCs/>
          <w:u w:val="single"/>
        </w:rPr>
        <w:t>extinction</w:t>
      </w:r>
      <w:r w:rsidRPr="00DD7693">
        <w:rPr>
          <w:bCs/>
          <w:color w:val="A6A6A6" w:themeColor="background1" w:themeShade="A6"/>
          <w:sz w:val="12"/>
        </w:rPr>
        <w:t xml:space="preserve"> of the race</w:t>
      </w:r>
      <w:r w:rsidRPr="00090C2B">
        <w:rPr>
          <w:bCs/>
          <w:color w:val="A6A6A6" w:themeColor="background1" w:themeShade="A6"/>
          <w:sz w:val="12"/>
        </w:rPr>
        <w:t xml:space="preserve">, </w:t>
      </w:r>
      <w:r w:rsidRPr="00031546">
        <w:rPr>
          <w:b/>
          <w:bCs/>
          <w:u w:val="single"/>
        </w:rPr>
        <w:t>for</w:t>
      </w:r>
      <w:r w:rsidRPr="00DD7693">
        <w:rPr>
          <w:bCs/>
          <w:color w:val="A6A6A6" w:themeColor="background1" w:themeShade="A6"/>
          <w:sz w:val="12"/>
        </w:rPr>
        <w:t xml:space="preserve"> in order </w:t>
      </w:r>
      <w:r w:rsidRPr="00031546">
        <w:rPr>
          <w:b/>
          <w:bCs/>
          <w:u w:val="single"/>
        </w:rPr>
        <w:t>to be a human good it must be experienced by human beings.</w:t>
      </w:r>
      <w:r w:rsidRPr="00090C2B">
        <w:rPr>
          <w:bCs/>
          <w:color w:val="A6A6A6" w:themeColor="background1" w:themeShade="A6"/>
          <w:sz w:val="12"/>
        </w:rPr>
        <w:t xml:space="preserve"> </w:t>
      </w:r>
      <w:r w:rsidRPr="00DD7693">
        <w:rPr>
          <w:bCs/>
          <w:color w:val="A6A6A6" w:themeColor="background1" w:themeShade="A6"/>
          <w:sz w:val="12"/>
        </w:rPr>
        <w:t xml:space="preserve">Thus extinction is one result we dare not-may not-risk. Though not conclusively established, </w:t>
      </w:r>
      <w:r w:rsidRPr="00031546">
        <w:rPr>
          <w:b/>
          <w:bCs/>
          <w:u w:val="single"/>
        </w:rPr>
        <w:t>the risk of extinction is real enough to make nuclear war</w:t>
      </w:r>
      <w:r w:rsidRPr="00DD7693">
        <w:rPr>
          <w:bCs/>
          <w:color w:val="A6A6A6" w:themeColor="background1" w:themeShade="A6"/>
          <w:sz w:val="12"/>
        </w:rPr>
        <w:t xml:space="preserve"> utterly</w:t>
      </w:r>
      <w:r w:rsidRPr="00090C2B">
        <w:rPr>
          <w:bCs/>
          <w:color w:val="A6A6A6" w:themeColor="background1" w:themeShade="A6"/>
          <w:sz w:val="12"/>
        </w:rPr>
        <w:t xml:space="preserve"> </w:t>
      </w:r>
      <w:r w:rsidRPr="00031546">
        <w:rPr>
          <w:b/>
          <w:bCs/>
          <w:u w:val="single"/>
        </w:rPr>
        <w:t>impermissible under any</w:t>
      </w:r>
      <w:r w:rsidRPr="00DD7693">
        <w:rPr>
          <w:bCs/>
          <w:color w:val="A6A6A6" w:themeColor="background1" w:themeShade="A6"/>
          <w:sz w:val="12"/>
        </w:rPr>
        <w:t xml:space="preserve"> sane</w:t>
      </w:r>
      <w:r w:rsidRPr="00090C2B">
        <w:rPr>
          <w:bCs/>
          <w:color w:val="A6A6A6" w:themeColor="background1" w:themeShade="A6"/>
          <w:sz w:val="12"/>
        </w:rPr>
        <w:t xml:space="preserve"> </w:t>
      </w:r>
      <w:r w:rsidRPr="00031546">
        <w:rPr>
          <w:b/>
          <w:bCs/>
          <w:u w:val="single"/>
        </w:rPr>
        <w:t>moral code.</w:t>
      </w:r>
    </w:p>
    <w:p w:rsidR="006D4B48" w:rsidRDefault="006D4B48" w:rsidP="006D4B48">
      <w:pPr>
        <w:rPr>
          <w:rFonts w:cs="Calibri"/>
          <w:b/>
          <w:lang w:eastAsia="ar-SA"/>
        </w:rPr>
      </w:pPr>
    </w:p>
    <w:p w:rsidR="00261704" w:rsidRDefault="009108FB" w:rsidP="00261704">
      <w:r w:rsidRPr="00261704">
        <w:t xml:space="preserve">No theory is so absolute that extinction is irrelevant. Even deon has a threshold. </w:t>
      </w:r>
    </w:p>
    <w:p w:rsidR="009108FB" w:rsidRPr="001F52FF" w:rsidRDefault="009108FB" w:rsidP="00261704">
      <w:r>
        <w:rPr>
          <w:b/>
          <w:u w:val="single"/>
        </w:rPr>
        <w:t>Korsgaard 02</w:t>
      </w:r>
      <w:r>
        <w:t xml:space="preserve"> writes</w:t>
      </w:r>
      <w:r>
        <w:rPr>
          <w:rStyle w:val="FootnoteReference"/>
        </w:rPr>
        <w:footnoteReference w:id="21"/>
      </w:r>
    </w:p>
    <w:p w:rsidR="009108FB" w:rsidRPr="00F14824" w:rsidRDefault="009108FB" w:rsidP="009108FB">
      <w:pPr>
        <w:pBdr>
          <w:top w:val="single" w:sz="4" w:space="1" w:color="auto"/>
          <w:left w:val="single" w:sz="4" w:space="4" w:color="auto"/>
          <w:bottom w:val="single" w:sz="4" w:space="1" w:color="auto"/>
          <w:right w:val="single" w:sz="4" w:space="4" w:color="auto"/>
        </w:pBdr>
        <w:rPr>
          <w:b/>
          <w:u w:val="single"/>
        </w:rPr>
      </w:pPr>
      <w:r w:rsidRPr="00695035">
        <w:rPr>
          <w:color w:val="A6A6A6" w:themeColor="background1" w:themeShade="A6"/>
          <w:sz w:val="12"/>
        </w:rPr>
        <w:t xml:space="preserve">But actions are also events in the world (or correspond to events in the world, at least), and they too have consequences. There are a number of different ways in which one can deal with worries about what happens to the consequences in Kant’s ethical theory. It is worth pointing out that </w:t>
      </w:r>
      <w:r w:rsidRPr="00695035">
        <w:rPr>
          <w:b/>
          <w:u w:val="single"/>
        </w:rPr>
        <w:t>Kant himself</w:t>
      </w:r>
      <w:r w:rsidRPr="00695035">
        <w:rPr>
          <w:color w:val="A6A6A6" w:themeColor="background1" w:themeShade="A6"/>
          <w:sz w:val="12"/>
        </w:rPr>
        <w:t xml:space="preserve"> not only </w:t>
      </w:r>
      <w:r w:rsidRPr="00695035">
        <w:rPr>
          <w:b/>
          <w:u w:val="single"/>
        </w:rPr>
        <w:t>did not ignore</w:t>
      </w:r>
      <w:r w:rsidRPr="00695035">
        <w:rPr>
          <w:color w:val="A6A6A6" w:themeColor="background1" w:themeShade="A6"/>
          <w:sz w:val="12"/>
        </w:rPr>
        <w:t xml:space="preserve"> the </w:t>
      </w:r>
      <w:r w:rsidRPr="00695035">
        <w:rPr>
          <w:b/>
          <w:u w:val="single"/>
        </w:rPr>
        <w:t>consequences</w:t>
      </w:r>
      <w:r w:rsidRPr="00695035">
        <w:rPr>
          <w:color w:val="A6A6A6" w:themeColor="background1" w:themeShade="A6"/>
          <w:sz w:val="12"/>
        </w:rPr>
        <w:t xml:space="preserve">, but took the fact that good actions can have bad effects as the starting point for his religious philosophy.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695035">
        <w:rPr>
          <w:b/>
          <w:u w:val="single"/>
        </w:rPr>
        <w:t>I</w:t>
      </w:r>
      <w:r w:rsidRPr="00F14824">
        <w:rPr>
          <w:color w:val="A6A6A6" w:themeColor="background1" w:themeShade="A6"/>
          <w:sz w:val="12"/>
        </w:rPr>
        <w:t xml:space="preserve"> myself </w:t>
      </w:r>
      <w:r w:rsidRPr="00F14824">
        <w:rPr>
          <w:b/>
          <w:u w:val="single"/>
        </w:rPr>
        <w:t>see</w:t>
      </w:r>
      <w:r w:rsidRPr="00F14824">
        <w:rPr>
          <w:color w:val="A6A6A6" w:themeColor="background1" w:themeShade="A6"/>
          <w:sz w:val="12"/>
        </w:rPr>
        <w:t xml:space="preserve"> the development of what Rawls has called </w:t>
      </w:r>
      <w:r w:rsidRPr="00F14824">
        <w:rPr>
          <w:b/>
          <w:u w:val="single"/>
        </w:rPr>
        <w:t>“nonideal theory” to be the right way of taking care of</w:t>
      </w:r>
      <w:r w:rsidRPr="00F14824">
        <w:rPr>
          <w:color w:val="A6A6A6" w:themeColor="background1" w:themeShade="A6"/>
          <w:sz w:val="12"/>
        </w:rPr>
        <w:t xml:space="preserve"> a certain class of </w:t>
      </w:r>
      <w:r w:rsidRPr="00F14824">
        <w:rPr>
          <w:b/>
          <w:u w:val="single"/>
        </w:rPr>
        <w:t>cases, in which the consequences</w:t>
      </w:r>
      <w:r w:rsidRPr="00F14824">
        <w:rPr>
          <w:color w:val="A6A6A6" w:themeColor="background1" w:themeShade="A6"/>
          <w:sz w:val="12"/>
        </w:rPr>
        <w:t xml:space="preserve"> of doing the right thing just </w:t>
      </w:r>
      <w:r w:rsidRPr="00F14824">
        <w:rPr>
          <w:b/>
          <w:u w:val="single"/>
        </w:rPr>
        <w:t>seem too appalling</w:t>
      </w:r>
      <w:r w:rsidRPr="00F14824">
        <w:rPr>
          <w:color w:val="A6A6A6" w:themeColor="background1" w:themeShade="A6"/>
          <w:sz w:val="12"/>
        </w:rPr>
        <w:t xml:space="preserve"> for us </w:t>
      </w:r>
      <w:r w:rsidRPr="00F14824">
        <w:rPr>
          <w:b/>
          <w:u w:val="single"/>
        </w:rPr>
        <w:t>to simply wash our hands of.</w:t>
      </w:r>
      <w:r w:rsidRPr="00F14824">
        <w:rPr>
          <w:color w:val="A6A6A6" w:themeColor="background1" w:themeShade="A6"/>
          <w:sz w:val="12"/>
        </w:rPr>
        <w:t xml:space="preserve"> But I do not want to say that just having bad consequences is enough to put an action into the realm of nonideal theory. I think there is a range of bad consequences that a decent person has to be prepared to live with, out of respect for other people’s right to manage their own lives and actions, and to contribute to shared decisions. But I also think that </w:t>
      </w:r>
      <w:r w:rsidRPr="00F14824">
        <w:rPr>
          <w:b/>
          <w:u w:val="single"/>
        </w:rPr>
        <w:t>there are cases where our actions go wrong in such a way that they turn out</w:t>
      </w:r>
      <w:r w:rsidRPr="00F14824">
        <w:rPr>
          <w:color w:val="A6A6A6" w:themeColor="background1" w:themeShade="A6"/>
          <w:sz w:val="12"/>
        </w:rPr>
        <w:t xml:space="preserve"> in a sense </w:t>
      </w:r>
      <w:r w:rsidRPr="00F14824">
        <w:rPr>
          <w:b/>
          <w:u w:val="single"/>
        </w:rPr>
        <w:t>not to be the act</w:t>
      </w:r>
      <w:r w:rsidRPr="00F14824">
        <w:rPr>
          <w:color w:val="A6A6A6" w:themeColor="background1" w:themeShade="A6"/>
          <w:sz w:val="12"/>
        </w:rPr>
        <w:t xml:space="preserve">ions </w:t>
      </w:r>
      <w:r w:rsidRPr="00F14824">
        <w:rPr>
          <w:b/>
          <w:u w:val="single"/>
        </w:rPr>
        <w:t>we intended</w:t>
      </w:r>
      <w:r w:rsidRPr="00F14824">
        <w:rPr>
          <w:color w:val="A6A6A6" w:themeColor="background1" w:themeShade="A6"/>
          <w:sz w:val="12"/>
        </w:rPr>
        <w:t xml:space="preserve"> to do, or to instantiate the values we meant them to instantiate. I think that some of </w:t>
      </w:r>
      <w:r w:rsidRPr="00F14824">
        <w:rPr>
          <w:b/>
          <w:u w:val="single"/>
        </w:rPr>
        <w:t>these cases can be dealt with by</w:t>
      </w:r>
      <w:r w:rsidRPr="00F14824">
        <w:rPr>
          <w:color w:val="A6A6A6" w:themeColor="background1" w:themeShade="A6"/>
          <w:sz w:val="12"/>
        </w:rPr>
        <w:t xml:space="preserve"> introducing </w:t>
      </w:r>
      <w:r w:rsidRPr="00F14824">
        <w:rPr>
          <w:b/>
          <w:u w:val="single"/>
        </w:rPr>
        <w:t>the</w:t>
      </w:r>
      <w:r w:rsidRPr="00F14824">
        <w:rPr>
          <w:color w:val="A6A6A6" w:themeColor="background1" w:themeShade="A6"/>
          <w:sz w:val="12"/>
        </w:rPr>
        <w:t xml:space="preserve"> kind of </w:t>
      </w:r>
      <w:r w:rsidRPr="00F14824">
        <w:rPr>
          <w:b/>
          <w:u w:val="single"/>
        </w:rPr>
        <w:t>double-level structure</w:t>
      </w:r>
      <w:r w:rsidRPr="00F14824">
        <w:rPr>
          <w:color w:val="A6A6A6" w:themeColor="background1" w:themeShade="A6"/>
          <w:sz w:val="12"/>
        </w:rPr>
        <w:t xml:space="preserve"> into moral philosophy that I have described in the essay on “The Right to Lie: Kant on Dealing with Evil.” 3 But I also think there are cases that cannot be domesticated even in this way, cases in which, to put it paradoxically, the good person will do something “wrong.” I have written about that sort of case too, in “Taking the Law into Our Own Hands: Kant on the Right to Revolution.” 4 </w:t>
      </w:r>
    </w:p>
    <w:p w:rsidR="009108FB" w:rsidRDefault="009108FB" w:rsidP="009108FB">
      <w:pPr>
        <w:rPr>
          <w:rFonts w:cs="Calibri"/>
          <w:b/>
          <w:lang w:eastAsia="ar-SA"/>
        </w:rPr>
      </w:pPr>
    </w:p>
    <w:p w:rsidR="00261704" w:rsidRDefault="009108FB" w:rsidP="00261704">
      <w:r w:rsidRPr="00261704">
        <w:t xml:space="preserve">The nature of the US government is to minimize existential risks. </w:t>
      </w:r>
    </w:p>
    <w:p w:rsidR="00261704" w:rsidRPr="00EA256A" w:rsidRDefault="00261704" w:rsidP="00261704">
      <w:r w:rsidRPr="00EA256A">
        <w:rPr>
          <w:b/>
          <w:u w:val="single"/>
        </w:rPr>
        <w:t>Abraham Lincoln 64</w:t>
      </w:r>
      <w:r w:rsidRPr="00EA256A">
        <w:rPr>
          <w:vertAlign w:val="superscript"/>
        </w:rPr>
        <w:footnoteReference w:id="22"/>
      </w:r>
    </w:p>
    <w:p w:rsidR="00261704" w:rsidRPr="00EA256A" w:rsidRDefault="00261704" w:rsidP="00261704">
      <w:pPr>
        <w:pBdr>
          <w:top w:val="single" w:sz="4" w:space="1" w:color="auto"/>
          <w:left w:val="single" w:sz="4" w:space="4" w:color="auto"/>
          <w:bottom w:val="single" w:sz="4" w:space="1" w:color="auto"/>
          <w:right w:val="single" w:sz="4" w:space="4" w:color="auto"/>
        </w:pBdr>
        <w:rPr>
          <w:b/>
          <w:u w:val="single"/>
        </w:rPr>
      </w:pPr>
      <w:r w:rsidRPr="00EA256A">
        <w:rPr>
          <w:color w:val="A6A6A6" w:themeColor="background1" w:themeShade="A6"/>
          <w:sz w:val="12"/>
        </w:rPr>
        <w:t xml:space="preserve">I am naturally anti-slavery. If slavery is not wrong, nothing is wrong. I can not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EA256A">
        <w:rPr>
          <w:b/>
          <w:u w:val="single"/>
        </w:rPr>
        <w:t>my oath to preserve the constitution</w:t>
      </w:r>
      <w:r w:rsidRPr="00EA256A">
        <w:rPr>
          <w:color w:val="A6A6A6" w:themeColor="background1" w:themeShade="A6"/>
          <w:sz w:val="12"/>
        </w:rPr>
        <w:t xml:space="preserve"> to the best of my ability, </w:t>
      </w:r>
      <w:r w:rsidRPr="00EA256A">
        <w:rPr>
          <w:b/>
          <w:u w:val="single"/>
        </w:rPr>
        <w:t>imposed upon me the duty of preserving</w:t>
      </w:r>
      <w:r w:rsidRPr="00EA256A">
        <w:rPr>
          <w:color w:val="A6A6A6" w:themeColor="background1" w:themeShade="A6"/>
          <w:sz w:val="12"/>
        </w:rPr>
        <w:t xml:space="preserve">, by every indispensabale means, that government — </w:t>
      </w:r>
      <w:r w:rsidRPr="00EA256A">
        <w:rPr>
          <w:b/>
          <w:u w:val="single"/>
        </w:rPr>
        <w:t>that nation — of which that constitution was</w:t>
      </w:r>
      <w:r w:rsidRPr="00EA256A">
        <w:rPr>
          <w:color w:val="A6A6A6" w:themeColor="background1" w:themeShade="A6"/>
          <w:sz w:val="12"/>
        </w:rPr>
        <w:t xml:space="preserve"> the organic </w:t>
      </w:r>
      <w:r w:rsidRPr="00EA256A">
        <w:rPr>
          <w:b/>
          <w:u w:val="single"/>
        </w:rPr>
        <w:t>law.</w:t>
      </w:r>
      <w:r w:rsidRPr="00EA256A">
        <w:rPr>
          <w:color w:val="A6A6A6" w:themeColor="background1" w:themeShade="A6"/>
          <w:sz w:val="12"/>
        </w:rPr>
        <w:t xml:space="preserve"> Was it possible to lose the nation, and yet preserve the constitution? By general law life and limb must be protected; yet often </w:t>
      </w:r>
      <w:r w:rsidRPr="00EA256A">
        <w:rPr>
          <w:b/>
          <w:u w:val="single"/>
        </w:rPr>
        <w:t>a limb must be amputated to save a life;</w:t>
      </w:r>
      <w:r w:rsidRPr="00EA256A">
        <w:rPr>
          <w:color w:val="A6A6A6" w:themeColor="background1" w:themeShade="A6"/>
          <w:sz w:val="1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EA256A">
        <w:rPr>
          <w:b/>
          <w:u w:val="single"/>
        </w:rPr>
        <w:t>I could not</w:t>
      </w:r>
      <w:r w:rsidRPr="00EA256A">
        <w:rPr>
          <w:color w:val="A6A6A6" w:themeColor="background1" w:themeShade="A6"/>
          <w:sz w:val="12"/>
        </w:rPr>
        <w:t xml:space="preserve"> feel that, to the best of my ability, I had even tried to </w:t>
      </w:r>
      <w:r w:rsidRPr="00EA256A">
        <w:rPr>
          <w:b/>
          <w:u w:val="single"/>
        </w:rPr>
        <w:t>preserve the constitution, if</w:t>
      </w:r>
      <w:r w:rsidRPr="00EA256A">
        <w:rPr>
          <w:color w:val="A6A6A6" w:themeColor="background1" w:themeShade="A6"/>
          <w:sz w:val="12"/>
        </w:rPr>
        <w:t xml:space="preserve">, to save slavery, or any minor matter, </w:t>
      </w:r>
      <w:r w:rsidRPr="00EA256A">
        <w:rPr>
          <w:b/>
          <w:u w:val="single"/>
        </w:rPr>
        <w:t>I should permit the wreck of</w:t>
      </w:r>
      <w:r w:rsidRPr="00EA256A">
        <w:rPr>
          <w:color w:val="A6A6A6" w:themeColor="background1" w:themeShade="A6"/>
          <w:sz w:val="12"/>
        </w:rPr>
        <w:t xml:space="preserve"> government, </w:t>
      </w:r>
      <w:r w:rsidRPr="00EA256A">
        <w:rPr>
          <w:b/>
          <w:u w:val="single"/>
        </w:rPr>
        <w:t>country, and Constitution all together.</w:t>
      </w:r>
    </w:p>
    <w:p w:rsidR="009108FB" w:rsidRDefault="009108FB" w:rsidP="006D4B48">
      <w:pPr>
        <w:rPr>
          <w:rFonts w:cs="Calibri"/>
          <w:b/>
          <w:lang w:eastAsia="ar-SA"/>
        </w:rPr>
      </w:pPr>
    </w:p>
    <w:p w:rsidR="00B8321C" w:rsidRDefault="00B8321C">
      <w:r>
        <w:br w:type="page"/>
      </w:r>
    </w:p>
    <w:p w:rsidR="006D4B48" w:rsidRDefault="006D4B48" w:rsidP="00261704">
      <w:r w:rsidRPr="00261704">
        <w:lastRenderedPageBreak/>
        <w:t xml:space="preserve">Infinite values don’t paralyze calculation. </w:t>
      </w:r>
      <w:r w:rsidRPr="002F13E8">
        <w:rPr>
          <w:b/>
          <w:u w:val="single"/>
        </w:rPr>
        <w:t>Lauwers and Vallentyne 04</w:t>
      </w:r>
      <w:r>
        <w:t xml:space="preserve"> write</w:t>
      </w:r>
      <w:r>
        <w:rPr>
          <w:rStyle w:val="FootnoteReference"/>
        </w:rPr>
        <w:footnoteReference w:id="23"/>
      </w:r>
    </w:p>
    <w:p w:rsidR="006D4B48" w:rsidRPr="00C91933" w:rsidRDefault="006D4B48" w:rsidP="006D4B48">
      <w:pPr>
        <w:ind w:right="-1"/>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its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24"/>
      </w:r>
      <w:r w:rsidRPr="00F13147">
        <w:rPr>
          <w:color w:val="A6A6A6" w:themeColor="background1" w:themeShade="A6"/>
          <w:sz w:val="12"/>
        </w:rPr>
        <w:t xml:space="preserve"> This latter condition holds that interlocational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additivity, not to defend finite additivity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interlocational comparisons of zero-points are uncontroversially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interlocational comparison of zero points is needed for this purpose.</w:t>
      </w:r>
    </w:p>
    <w:p w:rsidR="006D4B48" w:rsidRDefault="006D4B48" w:rsidP="006D4B48">
      <w:pPr>
        <w:ind w:right="-1"/>
      </w:pPr>
    </w:p>
    <w:p w:rsidR="006D4B48" w:rsidRPr="00EA0404" w:rsidRDefault="006D4B48" w:rsidP="00261704">
      <w:r w:rsidRPr="00261704">
        <w:t xml:space="preserve">Cost-benefit analysis is feasible. Ignore any util calc indicts. </w:t>
      </w:r>
      <w:r w:rsidRPr="002D3A2E">
        <w:rPr>
          <w:b/>
          <w:u w:val="single"/>
        </w:rPr>
        <w:t>Hardin 90</w:t>
      </w:r>
      <w:r>
        <w:t xml:space="preserve"> writes</w:t>
      </w:r>
      <w:r>
        <w:rPr>
          <w:rStyle w:val="FootnoteReference"/>
        </w:rPr>
        <w:footnoteReference w:id="25"/>
      </w:r>
    </w:p>
    <w:p w:rsidR="006D4B48" w:rsidRDefault="006D4B48" w:rsidP="006D4B48">
      <w:pPr>
        <w:ind w:right="-1"/>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one cannot know what 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How do you know that another ten minutes of calculation would not have produced a better choice? And one can only answer, You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6D4B48" w:rsidRDefault="006D4B48" w:rsidP="006D4B48">
      <w:pPr>
        <w:rPr>
          <w:rFonts w:cs="Calibri"/>
          <w:b/>
          <w:lang w:eastAsia="ar-SA"/>
        </w:rPr>
      </w:pPr>
    </w:p>
    <w:p w:rsidR="006D4B48" w:rsidRPr="00FA5B84" w:rsidRDefault="006D4B48" w:rsidP="006D4B48">
      <w:r w:rsidRPr="00FA5B84">
        <w:t xml:space="preserve">Ignore </w:t>
      </w:r>
      <w:r>
        <w:t>permissibility</w:t>
      </w:r>
      <w:r w:rsidRPr="00FA5B84">
        <w:t xml:space="preserve"> and presumption because moral uncertainty means we’ll always have a non-zero credence in the existence of morality, so there’s always a risk of offense in favor of one action.</w:t>
      </w:r>
    </w:p>
    <w:p w:rsidR="006D4B48" w:rsidRDefault="006D4B48" w:rsidP="006D4B48">
      <w:r>
        <w:br w:type="page"/>
      </w:r>
    </w:p>
    <w:p w:rsidR="00B8321C" w:rsidRDefault="006D4B48">
      <w:r>
        <w:lastRenderedPageBreak/>
        <w:t>T</w:t>
      </w:r>
      <w:r w:rsidRPr="00DD14A9">
        <w:t xml:space="preserve">he neg must defend one unconditional </w:t>
      </w:r>
      <w:r w:rsidR="00234497">
        <w:t>policy option</w:t>
      </w:r>
      <w:r w:rsidRPr="00DD14A9">
        <w:t>. Conditionality is bad because it makes the neg a moving target which kills 1AR strategy. He’ll kick it if I cover it and extend it if I undercover it, meaning I have no strategic options. Also, it’s unreciproc</w:t>
      </w:r>
      <w:r w:rsidR="009108FB">
        <w:t>al because I can’t kick the AC.</w:t>
      </w:r>
    </w:p>
    <w:p w:rsidR="00234497" w:rsidRDefault="00234497"/>
    <w:p w:rsidR="00234497" w:rsidRDefault="00234497">
      <w:r>
        <w:br w:type="page"/>
      </w:r>
    </w:p>
    <w:p w:rsidR="00097D51" w:rsidRPr="00261704" w:rsidRDefault="00097D51" w:rsidP="00261704">
      <w:r w:rsidRPr="00261704">
        <w:lastRenderedPageBreak/>
        <w:t>Contention 4 is Stop Wasting your time on Theory, Danny</w:t>
      </w:r>
    </w:p>
    <w:p w:rsidR="00097D51" w:rsidRDefault="00097D51" w:rsidP="009108FB"/>
    <w:p w:rsidR="00261704" w:rsidRDefault="009108FB" w:rsidP="00261704">
      <w:r w:rsidRPr="00261704">
        <w:t>I define rehab as federal support for reentry programs. Prefer this interpretation.</w:t>
      </w:r>
    </w:p>
    <w:p w:rsidR="009108FB" w:rsidRDefault="009108FB" w:rsidP="00261704">
      <w:r>
        <w:t>First, it sets the best limits</w:t>
      </w:r>
      <w:r w:rsidRPr="003262FC">
        <w:t>. Here’s a caselist</w:t>
      </w:r>
      <w:r>
        <w:t xml:space="preserve">. </w:t>
      </w:r>
      <w:r>
        <w:rPr>
          <w:b/>
          <w:u w:val="single"/>
        </w:rPr>
        <w:t>Nielson 11</w:t>
      </w:r>
      <w:r>
        <w:t xml:space="preserve"> writes</w:t>
      </w:r>
      <w:r>
        <w:rPr>
          <w:rStyle w:val="FootnoteReference"/>
        </w:rPr>
        <w:footnoteReference w:id="26"/>
      </w:r>
    </w:p>
    <w:p w:rsidR="009108FB" w:rsidRDefault="009108FB" w:rsidP="009108FB">
      <w:pP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Katzenbach, 2006). Rehabilitation is a critical to overcome the collateral consequences of being a convict which limit the convicted individuals social, economic, and political opportunities after release (Pinard,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(Muhlhausen,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9108FB" w:rsidRPr="00FF6F03"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9108FB" w:rsidRPr="00FF6F03"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and increase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disadvantage. In fact, there is a direct correlation between a lack of education and the probability of incarceration" (Colgan, 2006). Leaving prison with that same education deficiency has been linked to recidivism; in contrast, educational programs are linked with lowering recidivism (Colgan, 2006). Basic education, vocational programs, &amp; post-secondary education are all possible affirmatives on a prison reform topic (Nixon et al, 2008). Affirmatives may mandate vocational programs offering particular career training to fill holes in the economy (Colgan, 2006). Affirmatives could reform the fees system used by education programs which would encourage enrollment in education programs. </w:t>
      </w:r>
      <w:r w:rsidRPr="009B5A53">
        <w:rPr>
          <w:b/>
          <w:u w:val="single"/>
        </w:rPr>
        <w:t>Aff</w:t>
      </w:r>
      <w:r w:rsidRPr="00765451">
        <w:rPr>
          <w:color w:val="A6A6A6" w:themeColor="background1" w:themeShade="A6"/>
          <w:sz w:val="12"/>
        </w:rPr>
        <w:t xml:space="preserve">irmatives </w:t>
      </w:r>
      <w:r w:rsidRPr="009B5A53">
        <w:rPr>
          <w:b/>
          <w:u w:val="single"/>
        </w:rPr>
        <w:t>could provide incentives for community college</w:t>
      </w:r>
      <w:r w:rsidRPr="00765451">
        <w:rPr>
          <w:color w:val="A6A6A6" w:themeColor="background1" w:themeShade="A6"/>
          <w:sz w:val="12"/>
        </w:rPr>
        <w:t xml:space="preserve">s to offer </w:t>
      </w:r>
      <w:r w:rsidRPr="009B5A53">
        <w:rPr>
          <w:b/>
          <w:u w:val="single"/>
        </w:rPr>
        <w:t>programs for prisoners</w:t>
      </w:r>
      <w:r w:rsidRPr="00765451">
        <w:rPr>
          <w:color w:val="A6A6A6" w:themeColor="background1" w:themeShade="A6"/>
          <w:sz w:val="12"/>
        </w:rPr>
        <w:t xml:space="preserve"> to help </w:t>
      </w:r>
      <w:r w:rsidRPr="009B5A53">
        <w:rPr>
          <w:b/>
          <w:u w:val="single"/>
        </w:rPr>
        <w:t>with</w:t>
      </w:r>
      <w:r w:rsidRPr="00765451">
        <w:rPr>
          <w:color w:val="A6A6A6" w:themeColor="background1" w:themeShade="A6"/>
          <w:sz w:val="12"/>
        </w:rPr>
        <w:t xml:space="preserve"> applications, necessary testing, and </w:t>
      </w:r>
      <w:r w:rsidRPr="009B5A53">
        <w:rPr>
          <w:b/>
          <w:u w:val="single"/>
        </w:rPr>
        <w:t>financial aid.</w:t>
      </w:r>
      <w:r w:rsidRPr="00765451">
        <w:rPr>
          <w:color w:val="A6A6A6" w:themeColor="background1" w:themeShade="A6"/>
          <w:sz w:val="12"/>
        </w:rPr>
        <w:t xml:space="preserve">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xml:space="preserve">.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(Nuñez-Neto, 2008). Without income offenders are likely to commit another crime as a means of support (Burt, 2010). "Employment is one of the strongest predictors that an ex-offender will be successful after release and not backslide into crime" (Nuñez-Neto,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(Colgan, 2006). The federal government could also create temporary job programs for ex-prisoners (Burt, 2010).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(Colgan, 2006). Roughly 80% of prisoners report drug use in their history, even if not at the time of the crime (Colgan,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(Dolovich, 2009). There are facilities with four or five thousand prisoners and only three or four doctors and some physicians are limited to work in correctional facilities because they are not qualified to care for the general population (Gibbon &amp; Katzenbach, 2006). Courts have held that inmates have the right to health care, but the quality of the care is still up for debate (Quinn, 2009). 30 states have some form of co-payments for health care required of inmates which discourages prisoners from seeking treatment (Quinn, 2009; Gibbon &amp; Katzenbach, 2006). The Commission on Safety and Abuse in America's Prisons recommends co-pay laws be revoked and Medicaid and Medicare be extended to eligible prisoners (Gibbon &amp; Katzenbach,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(Colgan,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(Colgan,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(Colgan,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children have parents in the DOC (Colgan,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(Lyles-Chockley, 2009). Parents strain to reconnect with their children and children can go through serious trauma as parents reenter their lives; neither have had a chance to build a relationship during incarceration (Lyles-Chockley, 2009). The racial disparities in incarceration rates have a devastating impact on communities practically dissolving important social networks, particularly in black families (Lyles-Chockley, 2009). There will be affirmatives providing services for prisoners to interact with their children (Colgan, 2006).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Default="009108FB" w:rsidP="009108FB">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(Colgan, 2006). Several states (Tennessee, Hawaii, &amp; New York) have comprehensive programs that could be modeled on a federal level (Colgan,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(Colgan, 2006). In general, access to social services which some are explicitly denied would help convicts overcome significant obstacles to reentry.</w:t>
      </w:r>
    </w:p>
    <w:p w:rsidR="00261704" w:rsidRDefault="00261704" w:rsidP="00261704"/>
    <w:p w:rsidR="009108FB" w:rsidRDefault="009108FB" w:rsidP="00261704">
      <w:r>
        <w:t xml:space="preserve">Second, debating reentry policies is key to criminal justice education. </w:t>
      </w:r>
    </w:p>
    <w:p w:rsidR="009108FB" w:rsidRDefault="009108FB" w:rsidP="009108FB">
      <w:r>
        <w:t xml:space="preserve">Empirics confirm. Reentry is the most important and least discussed form of criminal justice education. </w:t>
      </w:r>
      <w:r>
        <w:rPr>
          <w:b/>
          <w:u w:val="single"/>
        </w:rPr>
        <w:t>Swanson et al 10</w:t>
      </w:r>
      <w:r>
        <w:t xml:space="preserve"> write</w:t>
      </w:r>
      <w:r>
        <w:rPr>
          <w:rStyle w:val="FootnoteReference"/>
        </w:rPr>
        <w:footnoteReference w:id="27"/>
      </w:r>
    </w:p>
    <w:p w:rsidR="009108FB" w:rsidRDefault="009108FB" w:rsidP="009108FB">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 xml:space="preserve">rates than telephone or male surveys (Couper 2000; </w:t>
      </w:r>
      <w:r w:rsidRPr="000D2DCF">
        <w:rPr>
          <w:color w:val="A6A6A6" w:themeColor="background1" w:themeShade="A6"/>
          <w:sz w:val="12"/>
        </w:rPr>
        <w:t>DiNitto et al. 2008; Tourangeau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r w:rsidRPr="000D2DCF">
        <w:rPr>
          <w:color w:val="A6A6A6" w:themeColor="background1" w:themeShade="A6"/>
          <w:sz w:val="12"/>
        </w:rPr>
        <w:t>Of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 Thus, it appears that when reentry issues are addressed, they are largely covered in more general courses.</w:t>
      </w:r>
    </w:p>
    <w:p w:rsidR="009108FB" w:rsidRPr="000D2DCF"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provides a breakdown of the amount of coverage of each reentry issue for only those respondents who reported they addressed the topics.2 While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Social work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1.81                                     1.90                             .850</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Political science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9108FB" w:rsidRPr="002422C6" w:rsidRDefault="009108FB" w:rsidP="009108FB">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w:t>
      </w:r>
      <w:r w:rsidRPr="002422C6">
        <w:rPr>
          <w:color w:val="A6A6A6" w:themeColor="background1" w:themeShade="A6"/>
          <w:sz w:val="12"/>
        </w:rPr>
        <w:lastRenderedPageBreak/>
        <w:t xml:space="preserve">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points to 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261704" w:rsidRDefault="00261704" w:rsidP="00261704">
      <w:r>
        <w:t xml:space="preserve"> </w:t>
      </w:r>
    </w:p>
    <w:p w:rsidR="009108FB" w:rsidRDefault="009108FB" w:rsidP="00261704">
      <w:r>
        <w:t xml:space="preserve">Criminal justice education outweighs other offense. </w:t>
      </w:r>
      <w:r>
        <w:rPr>
          <w:b/>
          <w:u w:val="single"/>
        </w:rPr>
        <w:t>Nielson 11</w:t>
      </w:r>
      <w:r>
        <w:t xml:space="preserve"> writes</w:t>
      </w:r>
      <w:r>
        <w:rPr>
          <w:rStyle w:val="FootnoteReference"/>
        </w:rPr>
        <w:footnoteReference w:id="28"/>
      </w:r>
    </w:p>
    <w:p w:rsidR="009108FB" w:rsidRPr="00824176" w:rsidRDefault="009108FB" w:rsidP="009108FB">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work post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go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261704" w:rsidRDefault="00261704" w:rsidP="00261704">
      <w:r>
        <w:t xml:space="preserve"> </w:t>
      </w:r>
    </w:p>
    <w:p w:rsidR="00261704" w:rsidRDefault="009108FB" w:rsidP="00261704">
      <w:r>
        <w:rPr>
          <w:rFonts w:cs="Calibri"/>
          <w:lang w:eastAsia="ar-SA"/>
        </w:rPr>
        <w:t xml:space="preserve">Third, </w:t>
      </w:r>
      <w:r>
        <w:t>case is a disad to theory.</w:t>
      </w:r>
      <w:r w:rsidRPr="00062B5E">
        <w:t xml:space="preserve"> Pell Grants discourse is key to real world reform.</w:t>
      </w:r>
    </w:p>
    <w:p w:rsidR="009108FB" w:rsidRPr="00062B5E" w:rsidRDefault="009108FB" w:rsidP="00261704">
      <w:r w:rsidRPr="00062B5E">
        <w:rPr>
          <w:b/>
          <w:u w:val="single"/>
        </w:rPr>
        <w:t>Abdul-Alim 12</w:t>
      </w:r>
      <w:r w:rsidRPr="00062B5E">
        <w:t xml:space="preserve"> writes</w:t>
      </w:r>
      <w:r w:rsidRPr="00062B5E">
        <w:rPr>
          <w:vertAlign w:val="superscript"/>
        </w:rPr>
        <w:footnoteReference w:id="29"/>
      </w:r>
    </w:p>
    <w:p w:rsidR="009108FB" w:rsidRPr="00062B5E" w:rsidRDefault="009108FB" w:rsidP="009108FB">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062B5E">
        <w:rPr>
          <w:rFonts w:eastAsia="Calibri" w:cs="Times New Roman"/>
          <w:color w:val="A6A6A6"/>
          <w:sz w:val="12"/>
          <w:szCs w:val="22"/>
        </w:rPr>
        <w:t xml:space="preserve">John J. Farmer, Jr., former New Jersey attorney general and now </w:t>
      </w:r>
      <w:r w:rsidRPr="00062B5E">
        <w:rPr>
          <w:rFonts w:eastAsia="Calibri" w:cs="Times New Roman"/>
          <w:b/>
          <w:szCs w:val="22"/>
          <w:u w:val="single"/>
        </w:rPr>
        <w:t>Dean</w:t>
      </w:r>
      <w:r w:rsidRPr="00062B5E">
        <w:rPr>
          <w:rFonts w:eastAsia="Calibri" w:cs="Times New Roman"/>
          <w:color w:val="A6A6A6"/>
          <w:sz w:val="12"/>
          <w:szCs w:val="22"/>
        </w:rPr>
        <w:t xml:space="preserve"> and Professor </w:t>
      </w:r>
      <w:r w:rsidRPr="00062B5E">
        <w:rPr>
          <w:rFonts w:eastAsia="Calibri" w:cs="Times New Roman"/>
          <w:b/>
          <w:szCs w:val="22"/>
          <w:u w:val="single"/>
        </w:rPr>
        <w:t>of Law at</w:t>
      </w:r>
      <w:r w:rsidRPr="00062B5E">
        <w:rPr>
          <w:rFonts w:eastAsia="Calibri" w:cs="Times New Roman"/>
          <w:color w:val="A6A6A6"/>
          <w:sz w:val="12"/>
          <w:szCs w:val="22"/>
        </w:rPr>
        <w:t xml:space="preserve"> the </w:t>
      </w:r>
      <w:r w:rsidRPr="00062B5E">
        <w:rPr>
          <w:rFonts w:eastAsia="Calibri" w:cs="Times New Roman"/>
          <w:b/>
          <w:szCs w:val="22"/>
          <w:u w:val="single"/>
        </w:rPr>
        <w:t>Rutgers</w:t>
      </w:r>
      <w:r w:rsidRPr="00062B5E">
        <w:rPr>
          <w:rFonts w:eastAsia="Calibri" w:cs="Times New Roman"/>
          <w:color w:val="A6A6A6"/>
          <w:sz w:val="12"/>
          <w:szCs w:val="22"/>
        </w:rPr>
        <w:t xml:space="preserve"> School of Law, </w:t>
      </w:r>
      <w:r w:rsidRPr="00062B5E">
        <w:rPr>
          <w:rFonts w:eastAsia="Calibri" w:cs="Times New Roman"/>
          <w:b/>
          <w:szCs w:val="22"/>
          <w:u w:val="single"/>
        </w:rPr>
        <w:t>called</w:t>
      </w:r>
      <w:r w:rsidRPr="00062B5E">
        <w:rPr>
          <w:rFonts w:eastAsia="Calibri" w:cs="Times New Roman"/>
          <w:color w:val="A6A6A6"/>
          <w:sz w:val="12"/>
          <w:szCs w:val="22"/>
        </w:rPr>
        <w:t xml:space="preserve"> the restoration of </w:t>
      </w:r>
      <w:r w:rsidRPr="00062B5E">
        <w:rPr>
          <w:rFonts w:eastAsia="Calibri" w:cs="Times New Roman"/>
          <w:b/>
          <w:szCs w:val="22"/>
          <w:u w:val="single"/>
        </w:rPr>
        <w:t>Pell grants for prisoners “one of the most important dialogues we can have in</w:t>
      </w:r>
      <w:r w:rsidRPr="00062B5E">
        <w:rPr>
          <w:rFonts w:eastAsia="Calibri" w:cs="Times New Roman"/>
          <w:color w:val="A6A6A6"/>
          <w:sz w:val="12"/>
          <w:szCs w:val="22"/>
        </w:rPr>
        <w:t xml:space="preserve"> the context of </w:t>
      </w:r>
      <w:r w:rsidRPr="00062B5E">
        <w:rPr>
          <w:rFonts w:eastAsia="Calibri" w:cs="Times New Roman"/>
          <w:b/>
          <w:szCs w:val="22"/>
          <w:u w:val="single"/>
        </w:rPr>
        <w:t>law enforcement.”</w:t>
      </w:r>
      <w:r w:rsidRPr="00062B5E">
        <w:rPr>
          <w:rFonts w:eastAsia="Calibri" w:cs="Times New Roman"/>
          <w:color w:val="A6A6A6"/>
          <w:sz w:val="12"/>
          <w:szCs w:val="2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settings is easy to find, political will to lift the federal ban on Pell grants to prisoners has been more difficult to garner. </w:t>
      </w:r>
      <w:r w:rsidRPr="00062B5E">
        <w:rPr>
          <w:rFonts w:eastAsia="Calibri" w:cs="Times New Roman"/>
          <w:b/>
          <w:szCs w:val="22"/>
          <w:u w:val="single"/>
        </w:rPr>
        <w:t>Farmer</w:t>
      </w:r>
      <w:r w:rsidRPr="00062B5E">
        <w:rPr>
          <w:rFonts w:eastAsia="Calibri" w:cs="Times New Roman"/>
          <w:color w:val="A6A6A6"/>
          <w:sz w:val="12"/>
          <w:szCs w:val="22"/>
        </w:rPr>
        <w:t xml:space="preserve"> said toward the end of his stint as New Jersey Attorney General from 1999 to 2002, he </w:t>
      </w:r>
      <w:r w:rsidRPr="00062B5E">
        <w:rPr>
          <w:rFonts w:eastAsia="Calibri" w:cs="Times New Roman"/>
          <w:b/>
          <w:szCs w:val="22"/>
          <w:u w:val="single"/>
        </w:rPr>
        <w:t>tried to sponsor legislation</w:t>
      </w:r>
      <w:r w:rsidRPr="00062B5E">
        <w:rPr>
          <w:rFonts w:eastAsia="Calibri" w:cs="Times New Roman"/>
          <w:color w:val="A6A6A6"/>
          <w:sz w:val="12"/>
          <w:szCs w:val="22"/>
        </w:rPr>
        <w:t xml:space="preserve"> that would provide for increased educational opportunities for prisoners in order to make it easier for them to reenter society. “At the time </w:t>
      </w:r>
      <w:r w:rsidRPr="00062B5E">
        <w:rPr>
          <w:rFonts w:eastAsia="Calibri" w:cs="Times New Roman"/>
          <w:b/>
          <w:szCs w:val="22"/>
          <w:u w:val="single"/>
        </w:rPr>
        <w:t>there</w:t>
      </w:r>
      <w:r w:rsidRPr="00062B5E">
        <w:rPr>
          <w:rFonts w:eastAsia="Calibri" w:cs="Times New Roman"/>
          <w:color w:val="A6A6A6"/>
          <w:sz w:val="12"/>
          <w:szCs w:val="22"/>
        </w:rPr>
        <w:t xml:space="preserve"> just </w:t>
      </w:r>
      <w:r w:rsidRPr="00062B5E">
        <w:rPr>
          <w:rFonts w:eastAsia="Calibri" w:cs="Times New Roman"/>
          <w:b/>
          <w:szCs w:val="22"/>
          <w:u w:val="single"/>
        </w:rPr>
        <w:t>was no traction</w:t>
      </w:r>
      <w:r w:rsidRPr="00062B5E">
        <w:rPr>
          <w:rFonts w:eastAsia="Calibri" w:cs="Times New Roman"/>
          <w:color w:val="A6A6A6"/>
          <w:sz w:val="12"/>
          <w:szCs w:val="22"/>
        </w:rPr>
        <w:t xml:space="preserve"> among the political people to pass legislation like this,” Farmer said. The group that organized Thursday’s discussion – </w:t>
      </w:r>
      <w:r w:rsidRPr="00062B5E">
        <w:rPr>
          <w:rFonts w:eastAsia="Calibri" w:cs="Times New Roman"/>
          <w:b/>
          <w:szCs w:val="22"/>
          <w:u w:val="single"/>
        </w:rPr>
        <w:t>The E</w:t>
      </w:r>
      <w:r w:rsidRPr="00062B5E">
        <w:rPr>
          <w:rFonts w:eastAsia="Calibri" w:cs="Times New Roman"/>
          <w:color w:val="A6A6A6"/>
          <w:sz w:val="12"/>
          <w:szCs w:val="22"/>
        </w:rPr>
        <w:t xml:space="preserve">ducation from the </w:t>
      </w:r>
      <w:r w:rsidRPr="00062B5E">
        <w:rPr>
          <w:rFonts w:eastAsia="Calibri" w:cs="Times New Roman"/>
          <w:b/>
          <w:szCs w:val="22"/>
          <w:u w:val="single"/>
        </w:rPr>
        <w:t>I</w:t>
      </w:r>
      <w:r w:rsidRPr="00062B5E">
        <w:rPr>
          <w:rFonts w:eastAsia="Calibri" w:cs="Times New Roman"/>
          <w:color w:val="A6A6A6"/>
          <w:sz w:val="12"/>
          <w:szCs w:val="22"/>
        </w:rPr>
        <w:t xml:space="preserve">nside </w:t>
      </w:r>
      <w:r w:rsidRPr="00062B5E">
        <w:rPr>
          <w:rFonts w:eastAsia="Calibri" w:cs="Times New Roman"/>
          <w:b/>
          <w:szCs w:val="22"/>
          <w:u w:val="single"/>
        </w:rPr>
        <w:t>O</w:t>
      </w:r>
      <w:r w:rsidRPr="00062B5E">
        <w:rPr>
          <w:rFonts w:eastAsia="Calibri" w:cs="Times New Roman"/>
          <w:color w:val="A6A6A6"/>
          <w:sz w:val="12"/>
          <w:szCs w:val="22"/>
        </w:rPr>
        <w:t xml:space="preserve">ut Coalition – has faced similar challenges. Over the past few years, the organization has </w:t>
      </w:r>
      <w:r w:rsidRPr="00062B5E">
        <w:rPr>
          <w:rFonts w:eastAsia="Calibri" w:cs="Times New Roman"/>
          <w:b/>
          <w:szCs w:val="22"/>
          <w:u w:val="single"/>
        </w:rPr>
        <w:t>approached key members of Congress</w:t>
      </w:r>
      <w:r w:rsidRPr="00062B5E">
        <w:rPr>
          <w:rFonts w:eastAsia="Calibri" w:cs="Times New Roman"/>
          <w:color w:val="A6A6A6"/>
          <w:sz w:val="12"/>
          <w:szCs w:val="22"/>
        </w:rPr>
        <w:t xml:space="preserve"> and, more recently, officials at the U.S. Department of Education in an attempt to get them </w:t>
      </w:r>
      <w:r w:rsidRPr="00062B5E">
        <w:rPr>
          <w:rFonts w:eastAsia="Calibri" w:cs="Times New Roman"/>
          <w:b/>
          <w:szCs w:val="22"/>
          <w:u w:val="single"/>
        </w:rPr>
        <w:t>to reverse the</w:t>
      </w:r>
      <w:r w:rsidRPr="00062B5E">
        <w:rPr>
          <w:rFonts w:eastAsia="Calibri" w:cs="Times New Roman"/>
          <w:color w:val="A6A6A6"/>
          <w:sz w:val="12"/>
          <w:szCs w:val="22"/>
        </w:rPr>
        <w:t xml:space="preserve"> 1994 </w:t>
      </w:r>
      <w:r w:rsidRPr="00062B5E">
        <w:rPr>
          <w:rFonts w:eastAsia="Calibri" w:cs="Times New Roman"/>
          <w:b/>
          <w:szCs w:val="22"/>
          <w:u w:val="single"/>
        </w:rPr>
        <w:t>ban</w:t>
      </w:r>
      <w:r w:rsidRPr="00062B5E">
        <w:rPr>
          <w:rFonts w:eastAsia="Calibri" w:cs="Times New Roman"/>
          <w:color w:val="A6A6A6"/>
          <w:sz w:val="12"/>
          <w:szCs w:val="22"/>
        </w:rPr>
        <w:t xml:space="preserve"> on Pell grants for incarcerated individuals. Each time, those involved in the effort say, they leave the table with the idea that </w:t>
      </w:r>
      <w:r w:rsidRPr="00062B5E">
        <w:rPr>
          <w:rFonts w:eastAsia="Calibri" w:cs="Times New Roman"/>
          <w:b/>
          <w:szCs w:val="22"/>
          <w:u w:val="single"/>
        </w:rPr>
        <w:t>they must first build</w:t>
      </w:r>
      <w:r w:rsidRPr="00062B5E">
        <w:rPr>
          <w:rFonts w:eastAsia="Calibri" w:cs="Times New Roman"/>
          <w:color w:val="A6A6A6"/>
          <w:sz w:val="12"/>
          <w:szCs w:val="22"/>
        </w:rPr>
        <w:t xml:space="preserve"> broad </w:t>
      </w:r>
      <w:r w:rsidRPr="00062B5E">
        <w:rPr>
          <w:rFonts w:eastAsia="Calibri" w:cs="Times New Roman"/>
          <w:b/>
          <w:szCs w:val="22"/>
          <w:u w:val="single"/>
        </w:rPr>
        <w:t xml:space="preserve">public support before any official will take the issue on. </w:t>
      </w:r>
    </w:p>
    <w:p w:rsidR="00EE315E" w:rsidRDefault="00EE315E">
      <w:r>
        <w:br w:type="page"/>
      </w:r>
    </w:p>
    <w:p w:rsidR="00EE315E" w:rsidRDefault="00EE315E" w:rsidP="00EE315E">
      <w:pPr>
        <w:pStyle w:val="Heading2"/>
        <w:spacing w:before="0"/>
        <w:jc w:val="center"/>
        <w:rPr>
          <w:rFonts w:ascii="Georgia" w:hAnsi="Georgia"/>
          <w:b w:val="0"/>
          <w:color w:val="auto"/>
          <w:sz w:val="24"/>
        </w:rPr>
      </w:pPr>
      <w:r>
        <w:rPr>
          <w:rFonts w:ascii="Georgia" w:hAnsi="Georgia"/>
          <w:color w:val="auto"/>
          <w:sz w:val="24"/>
          <w:u w:val="single"/>
        </w:rPr>
        <w:lastRenderedPageBreak/>
        <w:t>1AR</w:t>
      </w:r>
    </w:p>
    <w:p w:rsidR="00EE315E" w:rsidRDefault="00EE315E" w:rsidP="00EE315E"/>
    <w:p w:rsidR="00EE315E" w:rsidRPr="00EE315E" w:rsidRDefault="00EE315E" w:rsidP="00EE315E">
      <w:pPr>
        <w:rPr>
          <w:rFonts w:eastAsia="Calibri" w:cs="Times New Roman"/>
        </w:rPr>
      </w:pPr>
      <w:r>
        <w:rPr>
          <w:rFonts w:eastAsia="Calibri" w:cs="Times New Roman"/>
        </w:rPr>
        <w:t xml:space="preserve">TURN – </w:t>
      </w:r>
      <w:r w:rsidRPr="00EE315E">
        <w:rPr>
          <w:rFonts w:eastAsia="Calibri" w:cs="Times New Roman"/>
        </w:rPr>
        <w:t>The federal ba</w:t>
      </w:r>
      <w:r w:rsidR="00762C54">
        <w:rPr>
          <w:rFonts w:eastAsia="Calibri" w:cs="Times New Roman"/>
        </w:rPr>
        <w:t xml:space="preserve">n on Pell Grants for prisoners </w:t>
      </w:r>
      <w:r w:rsidRPr="00EE315E">
        <w:rPr>
          <w:rFonts w:eastAsia="Calibri" w:cs="Times New Roman"/>
        </w:rPr>
        <w:t xml:space="preserve">was engrained in neoliberal logic of economic competitiveness that privileged vocational training over liberal arts education.  </w:t>
      </w:r>
      <w:r w:rsidRPr="00EE315E">
        <w:rPr>
          <w:rFonts w:eastAsia="Calibri" w:cs="Times New Roman"/>
          <w:b/>
          <w:u w:val="single"/>
        </w:rPr>
        <w:t>Yates 09</w:t>
      </w:r>
      <w:r w:rsidRPr="00EE315E">
        <w:rPr>
          <w:rFonts w:eastAsia="Calibri" w:cs="Times New Roman"/>
          <w:vertAlign w:val="superscript"/>
        </w:rPr>
        <w:footnoteReference w:id="30"/>
      </w:r>
    </w:p>
    <w:p w:rsidR="00EE315E" w:rsidRPr="00EE315E" w:rsidRDefault="00EE315E" w:rsidP="00EE315E">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EE315E">
        <w:rPr>
          <w:rFonts w:eastAsia="Calibri" w:cs="Times New Roman"/>
          <w:color w:val="A6A6A6"/>
          <w:sz w:val="12"/>
        </w:rPr>
        <w:t xml:space="preserve">In 1971, Supreme Court Justice Warren Burger spoke at the first National Conference on Corrections, “We know that today the programs of (prisoner) education range from nonexistent to inadequate, with all too few exceptions. However we do it, the illiterate and the unskilled who are sentenced for substantial terms must be given the opportunity, the means, and the motivation to learn his way to freedom” (Burger, 1985 p. 193). Prison-based programs have dated back to the 1800s as reformers sought to extend basic and vocational education, as well as moral education to those who had been convicted of crimes (Welch, 1996). Gehring and Wright (2003) propose that many of these early reformers were not just interested in improving the virtues of the inmates, but also had a sophisticated understanding of the anti-democratic nature of penal systems. They had the progressive notion that prisoners were capable of being agents in their own reformation by taking responsibility for education. Gehring and Wright call the presence of these early radical prison educators, “the hidden heritage of correctional education” (p. 52 5). They suggest this thread of progressiveness extended up through World War II after which Cold War pragmatism resulted in a return to basic education (Gehring &amp; Wright 2003). Much of the </w:t>
      </w:r>
      <w:r w:rsidRPr="00EE315E">
        <w:rPr>
          <w:rFonts w:eastAsia="Calibri" w:cs="Times New Roman"/>
          <w:b/>
          <w:u w:val="single"/>
        </w:rPr>
        <w:t>programs of the</w:t>
      </w:r>
      <w:r w:rsidRPr="00EE315E">
        <w:rPr>
          <w:rFonts w:eastAsia="Calibri" w:cs="Times New Roman"/>
        </w:rPr>
        <w:t xml:space="preserve"> </w:t>
      </w:r>
      <w:r w:rsidRPr="00EE315E">
        <w:rPr>
          <w:rFonts w:eastAsia="Calibri" w:cs="Times New Roman"/>
          <w:color w:val="A6A6A6"/>
          <w:sz w:val="12"/>
        </w:rPr>
        <w:t>19</w:t>
      </w:r>
      <w:r w:rsidRPr="00EE315E">
        <w:rPr>
          <w:rFonts w:eastAsia="Calibri" w:cs="Times New Roman"/>
          <w:b/>
          <w:u w:val="single"/>
        </w:rPr>
        <w:t>60s and</w:t>
      </w:r>
      <w:r w:rsidRPr="00EE315E">
        <w:rPr>
          <w:rFonts w:eastAsia="Calibri" w:cs="Times New Roman"/>
        </w:rPr>
        <w:t xml:space="preserve"> </w:t>
      </w:r>
      <w:r w:rsidRPr="00EE315E">
        <w:rPr>
          <w:rFonts w:eastAsia="Calibri" w:cs="Times New Roman"/>
          <w:color w:val="A6A6A6"/>
          <w:sz w:val="12"/>
        </w:rPr>
        <w:t>19</w:t>
      </w:r>
      <w:r w:rsidRPr="00EE315E">
        <w:rPr>
          <w:rFonts w:eastAsia="Calibri" w:cs="Times New Roman"/>
          <w:b/>
          <w:u w:val="single"/>
        </w:rPr>
        <w:t>70s</w:t>
      </w:r>
      <w:r w:rsidRPr="00EE315E">
        <w:rPr>
          <w:rFonts w:eastAsia="Calibri" w:cs="Times New Roman"/>
        </w:rPr>
        <w:t xml:space="preserve"> </w:t>
      </w:r>
      <w:r w:rsidRPr="00EE315E">
        <w:rPr>
          <w:rFonts w:eastAsia="Calibri" w:cs="Times New Roman"/>
          <w:color w:val="A6A6A6"/>
          <w:sz w:val="12"/>
        </w:rPr>
        <w:t>followed a functionalist approach that</w:t>
      </w:r>
      <w:r w:rsidRPr="00EE315E">
        <w:rPr>
          <w:rFonts w:eastAsia="Calibri" w:cs="Times New Roman"/>
        </w:rPr>
        <w:t xml:space="preserve"> </w:t>
      </w:r>
      <w:r w:rsidRPr="00EE315E">
        <w:rPr>
          <w:rFonts w:eastAsia="Calibri" w:cs="Times New Roman"/>
          <w:b/>
          <w:u w:val="single"/>
        </w:rPr>
        <w:t>equated an inmate’s</w:t>
      </w:r>
      <w:r w:rsidRPr="00EE315E">
        <w:rPr>
          <w:rFonts w:eastAsia="Calibri" w:cs="Times New Roman"/>
        </w:rPr>
        <w:t xml:space="preserve"> </w:t>
      </w:r>
      <w:r w:rsidRPr="00EE315E">
        <w:rPr>
          <w:rFonts w:eastAsia="Calibri" w:cs="Georgia"/>
          <w:color w:val="A6A6A6"/>
          <w:sz w:val="12"/>
        </w:rPr>
        <w:t xml:space="preserve">future </w:t>
      </w:r>
      <w:r w:rsidRPr="00EE315E">
        <w:rPr>
          <w:rFonts w:eastAsia="Calibri" w:cs="Georgia"/>
          <w:b/>
          <w:u w:val="single"/>
        </w:rPr>
        <w:t>success</w:t>
      </w:r>
      <w:r w:rsidRPr="00EE315E">
        <w:rPr>
          <w:rFonts w:eastAsia="Calibri" w:cs="Georgia"/>
        </w:rPr>
        <w:t xml:space="preserve"> </w:t>
      </w:r>
      <w:r w:rsidRPr="00EE315E">
        <w:rPr>
          <w:rFonts w:eastAsia="Calibri" w:cs="Georgia"/>
          <w:color w:val="A6A6A6"/>
          <w:sz w:val="12"/>
        </w:rPr>
        <w:t>as a law-abiding citizen</w:t>
      </w:r>
      <w:r w:rsidRPr="00EE315E">
        <w:rPr>
          <w:rFonts w:eastAsia="Calibri" w:cs="Georgia"/>
        </w:rPr>
        <w:t xml:space="preserve"> </w:t>
      </w:r>
      <w:r w:rsidRPr="00EE315E">
        <w:rPr>
          <w:rFonts w:eastAsia="Calibri" w:cs="Georgia"/>
          <w:b/>
          <w:u w:val="single"/>
        </w:rPr>
        <w:t>with</w:t>
      </w:r>
      <w:r w:rsidRPr="00EE315E">
        <w:rPr>
          <w:rFonts w:eastAsia="Calibri" w:cs="Georgia"/>
        </w:rPr>
        <w:t xml:space="preserve"> </w:t>
      </w:r>
      <w:r w:rsidRPr="00EE315E">
        <w:rPr>
          <w:rFonts w:eastAsia="Calibri" w:cs="Georgia"/>
          <w:color w:val="A6A6A6"/>
          <w:sz w:val="12"/>
        </w:rPr>
        <w:t xml:space="preserve">the knowledge </w:t>
      </w:r>
      <w:r w:rsidRPr="00EE315E">
        <w:rPr>
          <w:rFonts w:eastAsia="Calibri" w:cs="Times New Roman"/>
          <w:color w:val="A6A6A6"/>
          <w:sz w:val="12"/>
        </w:rPr>
        <w:t>required to obtain</w:t>
      </w:r>
      <w:r w:rsidRPr="00EE315E">
        <w:rPr>
          <w:rFonts w:eastAsia="Calibri" w:cs="Times New Roman"/>
        </w:rPr>
        <w:t xml:space="preserve"> </w:t>
      </w:r>
      <w:r w:rsidRPr="00EE315E">
        <w:rPr>
          <w:rFonts w:eastAsia="Calibri" w:cs="Times New Roman"/>
          <w:color w:val="A6A6A6"/>
          <w:sz w:val="12"/>
        </w:rPr>
        <w:t>lawful employment and negotiate legal society. These skill sets focused primarily on obtaining</w:t>
      </w:r>
      <w:r w:rsidRPr="00EE315E">
        <w:rPr>
          <w:rFonts w:eastAsia="Calibri" w:cs="Times New Roman"/>
        </w:rPr>
        <w:t xml:space="preserve"> </w:t>
      </w:r>
      <w:r w:rsidRPr="00EE315E">
        <w:rPr>
          <w:rFonts w:eastAsia="Calibri" w:cs="Times New Roman"/>
          <w:b/>
          <w:u w:val="single"/>
        </w:rPr>
        <w:t>vocational skills</w:t>
      </w:r>
      <w:r w:rsidRPr="00EE315E">
        <w:rPr>
          <w:rFonts w:eastAsia="Calibri" w:cs="Times New Roman"/>
        </w:rPr>
        <w:t xml:space="preserve"> </w:t>
      </w:r>
      <w:r w:rsidRPr="00EE315E">
        <w:rPr>
          <w:rFonts w:eastAsia="Calibri" w:cs="Times New Roman"/>
          <w:color w:val="A6A6A6"/>
          <w:sz w:val="12"/>
        </w:rPr>
        <w:t>and basic literacy. Howard Davidson describes this theory: “it propounds that crime results from individuals making poor (i.e. criminal) decisions when faced with life</w:t>
      </w:r>
      <w:r w:rsidRPr="00EE315E">
        <w:rPr>
          <w:rFonts w:ascii="Times New Roman" w:eastAsia="Calibri" w:hAnsi="Times New Roman" w:cs="Times New Roman"/>
          <w:color w:val="A6A6A6"/>
          <w:sz w:val="12"/>
        </w:rPr>
        <w:t>‟</w:t>
      </w:r>
      <w:r w:rsidRPr="00EE315E">
        <w:rPr>
          <w:rFonts w:eastAsia="Calibri" w:cs="Georgia"/>
          <w:color w:val="A6A6A6"/>
          <w:sz w:val="12"/>
        </w:rPr>
        <w:t>s ma</w:t>
      </w:r>
      <w:r w:rsidRPr="00EE315E">
        <w:rPr>
          <w:rFonts w:eastAsia="Calibri" w:cs="Times New Roman"/>
          <w:color w:val="A6A6A6"/>
          <w:sz w:val="12"/>
        </w:rPr>
        <w:t xml:space="preserve">ny problems. </w:t>
      </w:r>
      <w:r w:rsidRPr="00EE315E">
        <w:rPr>
          <w:rFonts w:eastAsia="Calibri" w:cs="Times New Roman"/>
          <w:b/>
          <w:u w:val="single"/>
        </w:rPr>
        <w:t>Out of neoliberalism comes the market metaphor, in which individuals make rational decisions based on calculating benefits against costs</w:t>
      </w:r>
      <w:r w:rsidRPr="00EE315E">
        <w:rPr>
          <w:rFonts w:eastAsia="Calibri" w:cs="Times New Roman"/>
          <w:color w:val="A6A6A6"/>
          <w:sz w:val="12"/>
        </w:rPr>
        <w:t xml:space="preserve">” (Davidson, 1995, p.4). How did the modern functionalist approach to prisoner education take root? Much of the impetus seems to have arisen from human capital theory. </w:t>
      </w:r>
      <w:r w:rsidRPr="00EE315E">
        <w:rPr>
          <w:rFonts w:eastAsia="Calibri" w:cs="Times New Roman"/>
          <w:b/>
          <w:u w:val="single"/>
        </w:rPr>
        <w:t>One</w:t>
      </w:r>
      <w:r w:rsidRPr="00EE315E">
        <w:rPr>
          <w:rFonts w:eastAsia="Calibri" w:cs="Times New Roman"/>
          <w:color w:val="A6A6A6"/>
          <w:sz w:val="12"/>
        </w:rPr>
        <w:t xml:space="preserve"> of the </w:t>
      </w:r>
      <w:r w:rsidRPr="00EE315E">
        <w:rPr>
          <w:rFonts w:eastAsia="Calibri" w:cs="Times New Roman"/>
          <w:b/>
          <w:u w:val="single"/>
        </w:rPr>
        <w:t>primary feature</w:t>
      </w:r>
      <w:r w:rsidRPr="00EE315E">
        <w:rPr>
          <w:rFonts w:eastAsia="Calibri" w:cs="Times New Roman"/>
          <w:color w:val="A6A6A6"/>
          <w:sz w:val="12"/>
        </w:rPr>
        <w:t xml:space="preserve">s </w:t>
      </w:r>
      <w:r w:rsidRPr="00EE315E">
        <w:rPr>
          <w:rFonts w:eastAsia="Calibri" w:cs="Times New Roman"/>
          <w:b/>
          <w:u w:val="single"/>
        </w:rPr>
        <w:t>of neoliberal thought</w:t>
      </w:r>
      <w:r w:rsidRPr="00EE315E">
        <w:rPr>
          <w:rFonts w:eastAsia="Calibri" w:cs="Times New Roman"/>
          <w:color w:val="A6A6A6"/>
          <w:sz w:val="12"/>
        </w:rPr>
        <w:t xml:space="preserve"> and practice </w:t>
      </w:r>
      <w:r w:rsidRPr="00EE315E">
        <w:rPr>
          <w:rFonts w:eastAsia="Calibri" w:cs="Times New Roman"/>
          <w:b/>
          <w:u w:val="single"/>
        </w:rPr>
        <w:t>is the reliance upon</w:t>
      </w:r>
      <w:r w:rsidRPr="00EE315E">
        <w:rPr>
          <w:rFonts w:eastAsia="Calibri" w:cs="Times New Roman"/>
          <w:color w:val="A6A6A6"/>
          <w:sz w:val="12"/>
        </w:rPr>
        <w:t xml:space="preserve"> human capital theory to explain the purpose of education. Human capital theory has been described by Robert Hart and Thomas Moutos (1995) as an investment of </w:t>
      </w:r>
      <w:r w:rsidRPr="00EE315E">
        <w:rPr>
          <w:rFonts w:eastAsia="Calibri" w:cs="Times New Roman"/>
          <w:b/>
          <w:u w:val="single"/>
        </w:rPr>
        <w:t>skills training in workers that seeks to balance the costs of training with the return on</w:t>
      </w:r>
      <w:r w:rsidRPr="00EE315E">
        <w:rPr>
          <w:rFonts w:eastAsia="Calibri" w:cs="Times New Roman"/>
          <w:color w:val="A6A6A6"/>
          <w:sz w:val="12"/>
        </w:rPr>
        <w:t xml:space="preserve"> the </w:t>
      </w:r>
      <w:r w:rsidRPr="00EE315E">
        <w:rPr>
          <w:rFonts w:eastAsia="Calibri" w:cs="Times New Roman"/>
          <w:b/>
          <w:u w:val="single"/>
        </w:rPr>
        <w:t>investment.</w:t>
      </w:r>
      <w:r w:rsidRPr="00EE315E">
        <w:rPr>
          <w:rFonts w:eastAsia="Calibri" w:cs="Times New Roman"/>
        </w:rPr>
        <w:t xml:space="preserve"> </w:t>
      </w:r>
      <w:r w:rsidRPr="00EE315E">
        <w:rPr>
          <w:rFonts w:eastAsia="Calibri" w:cs="Times New Roman"/>
          <w:color w:val="A6A6A6"/>
          <w:sz w:val="12"/>
        </w:rPr>
        <w:t xml:space="preserve">Even the proponents of human capital theory describe it as reductionist, mechanical and based upon “homogenized factors.” During the reign of neoliberalism, human capital theory slithered from its manufacturing origins into the corridors of education. Perhaps the most succinct description of the human capital theory of education is provided (without apparent irony) by Joop Hartog and Hessel Oosterbeek (2007): “The basic human capital model of schooling envisages two options (1) go to school for s years and earn an income Ys every year after leaving school, or (2) go to work right away and earn 53 annual income Yo” (p. 7). This reductionist view of the role of schooling does not take into account exogenous factors that can affect income level such as discrimination and availability of jobs in the market (Livingstone, 1997). The role of human capital theory in education reached a high level of urgency among neoliberals as concern arose regarding the United States competiveness in global markets. Chief among the proponents were Presidents George Bush and Bill Clinton through the Goals 2000 project which set the priority for education to create the workers who could increase the U.S. efficacy in international capitalism (Briscoe, 2000). A center-piece of the thrust toward implementation of human capital theory in education was the No Child Left Behind legislation which narrowed the focus of educational curricula toward those basic skills required for technical society such as math, reading and science at the expense of those for an active, well-rounded life such as social studies, art, music and physical education. According to Pauline Lipman (2007) No Child Left Behind is “explicitly designed to meet the needs and technical rationality of business… symbolically, as well as practically, national testing constitutes a system of quality control, verifying that those who survive the gauntlet of tests and graduate have the literacies and dispositions business requires” (Lipman, 2007, p. 46). Lipman sees the legislation as a disciplinary process with the end product being docile workers, the ultimate in human capital. Prisoner job training programs fulfilled this need. In the 1970s and 1980s, </w:t>
      </w:r>
      <w:r w:rsidRPr="00EE315E">
        <w:rPr>
          <w:rFonts w:eastAsia="Calibri" w:cs="Times New Roman"/>
          <w:b/>
          <w:u w:val="single"/>
        </w:rPr>
        <w:t>in part due to</w:t>
      </w:r>
      <w:r w:rsidRPr="00EE315E">
        <w:rPr>
          <w:rFonts w:eastAsia="Calibri" w:cs="Times New Roman"/>
        </w:rPr>
        <w:t xml:space="preserve"> </w:t>
      </w:r>
      <w:r w:rsidRPr="00EE315E">
        <w:rPr>
          <w:rFonts w:eastAsia="Calibri" w:cs="Times New Roman"/>
          <w:color w:val="A6A6A6"/>
          <w:sz w:val="12"/>
        </w:rPr>
        <w:t>the availability of</w:t>
      </w:r>
      <w:r w:rsidRPr="00EE315E">
        <w:rPr>
          <w:rFonts w:eastAsia="Calibri" w:cs="Times New Roman"/>
        </w:rPr>
        <w:t xml:space="preserve"> </w:t>
      </w:r>
      <w:r w:rsidRPr="00EE315E">
        <w:rPr>
          <w:rFonts w:eastAsia="Calibri" w:cs="Times New Roman"/>
          <w:b/>
          <w:u w:val="single"/>
        </w:rPr>
        <w:t>the Pell Grant,</w:t>
      </w:r>
      <w:r w:rsidRPr="00EE315E">
        <w:rPr>
          <w:rFonts w:eastAsia="Calibri" w:cs="Times New Roman"/>
          <w:color w:val="A6A6A6"/>
          <w:sz w:val="12"/>
        </w:rPr>
        <w:t xml:space="preserve"> a</w:t>
      </w:r>
      <w:r w:rsidRPr="00EE315E">
        <w:rPr>
          <w:rFonts w:eastAsia="Calibri" w:cs="Times New Roman"/>
        </w:rPr>
        <w:t xml:space="preserve"> </w:t>
      </w:r>
      <w:r w:rsidRPr="00EE315E">
        <w:rPr>
          <w:rFonts w:eastAsia="Calibri" w:cs="Times New Roman"/>
          <w:b/>
          <w:u w:val="single"/>
        </w:rPr>
        <w:t>liberal arts</w:t>
      </w:r>
      <w:r w:rsidRPr="00EE315E">
        <w:rPr>
          <w:rFonts w:eastAsia="Calibri" w:cs="Times New Roman"/>
          <w:color w:val="A6A6A6"/>
          <w:sz w:val="12"/>
        </w:rPr>
        <w:t xml:space="preserve"> curriculum</w:t>
      </w:r>
      <w:r w:rsidRPr="00EE315E">
        <w:rPr>
          <w:rFonts w:eastAsia="Calibri" w:cs="Times New Roman"/>
        </w:rPr>
        <w:t xml:space="preserve"> </w:t>
      </w:r>
      <w:r w:rsidRPr="00EE315E">
        <w:rPr>
          <w:rFonts w:eastAsia="Calibri" w:cs="Times New Roman"/>
          <w:b/>
          <w:u w:val="single"/>
        </w:rPr>
        <w:t>became a major component of</w:t>
      </w:r>
      <w:r w:rsidRPr="00EE315E">
        <w:rPr>
          <w:rFonts w:eastAsia="Calibri" w:cs="Times New Roman"/>
          <w:color w:val="A6A6A6"/>
          <w:sz w:val="12"/>
        </w:rPr>
        <w:t xml:space="preserve"> many </w:t>
      </w:r>
      <w:r w:rsidRPr="00EE315E">
        <w:rPr>
          <w:rFonts w:eastAsia="Calibri" w:cs="Times New Roman"/>
          <w:b/>
          <w:u w:val="single"/>
        </w:rPr>
        <w:t>prison education</w:t>
      </w:r>
      <w:r w:rsidRPr="00EE315E">
        <w:rPr>
          <w:rFonts w:eastAsia="Calibri" w:cs="Times New Roman"/>
        </w:rPr>
        <w:t xml:space="preserve"> </w:t>
      </w:r>
      <w:r w:rsidRPr="00EE315E">
        <w:rPr>
          <w:rFonts w:eastAsia="Calibri" w:cs="Times New Roman"/>
          <w:color w:val="A6A6A6"/>
          <w:sz w:val="12"/>
        </w:rPr>
        <w:t>programs in a way that it never had before</w:t>
      </w:r>
      <w:r w:rsidRPr="00EE315E">
        <w:rPr>
          <w:rFonts w:eastAsia="Calibri" w:cs="Times New Roman"/>
          <w:b/>
          <w:u w:val="single"/>
        </w:rPr>
        <w:t>.</w:t>
      </w:r>
      <w:r w:rsidRPr="00EE315E">
        <w:rPr>
          <w:rFonts w:eastAsia="Calibri" w:cs="Times New Roman"/>
        </w:rPr>
        <w:t xml:space="preserve"> </w:t>
      </w:r>
      <w:r w:rsidRPr="00EE315E">
        <w:rPr>
          <w:rFonts w:eastAsia="Calibri" w:cs="Times New Roman"/>
          <w:color w:val="A6A6A6"/>
          <w:sz w:val="12"/>
        </w:rPr>
        <w:t>According to Mary Wright (2001) the correction education liberal arts programs remained in favor well into the 1990s even as it was de-emphasized in the 54 larger academic world. She gives several reasons, including the slow pace of change in prisons, the lack of flexibility and increased cost of obtaining equipment for technical job training programs. However,</w:t>
      </w:r>
      <w:r w:rsidRPr="00EE315E">
        <w:rPr>
          <w:rFonts w:eastAsia="Calibri" w:cs="Times New Roman"/>
        </w:rPr>
        <w:t xml:space="preserve"> </w:t>
      </w:r>
      <w:r w:rsidRPr="00EE315E">
        <w:rPr>
          <w:rFonts w:eastAsia="Calibri" w:cs="Times New Roman"/>
          <w:b/>
          <w:u w:val="single"/>
        </w:rPr>
        <w:t>in the</w:t>
      </w:r>
      <w:r w:rsidRPr="00EE315E">
        <w:rPr>
          <w:rFonts w:eastAsia="Calibri" w:cs="Times New Roman"/>
        </w:rPr>
        <w:t xml:space="preserve"> </w:t>
      </w:r>
      <w:r w:rsidRPr="00EE315E">
        <w:rPr>
          <w:rFonts w:eastAsia="Calibri" w:cs="Times New Roman"/>
          <w:color w:val="A6A6A6"/>
          <w:sz w:val="12"/>
        </w:rPr>
        <w:t>19</w:t>
      </w:r>
      <w:r w:rsidRPr="00EE315E">
        <w:rPr>
          <w:rFonts w:eastAsia="Calibri" w:cs="Times New Roman"/>
          <w:b/>
          <w:u w:val="single"/>
        </w:rPr>
        <w:t>90s, liberal arts</w:t>
      </w:r>
      <w:r w:rsidRPr="00EE315E">
        <w:rPr>
          <w:rFonts w:eastAsia="Calibri" w:cs="Times New Roman"/>
        </w:rPr>
        <w:t xml:space="preserve"> </w:t>
      </w:r>
      <w:r w:rsidRPr="00EE315E">
        <w:rPr>
          <w:rFonts w:eastAsia="Calibri" w:cs="Times New Roman"/>
          <w:color w:val="A6A6A6"/>
          <w:sz w:val="12"/>
        </w:rPr>
        <w:t>in a correctional setting</w:t>
      </w:r>
      <w:r w:rsidRPr="00EE315E">
        <w:rPr>
          <w:rFonts w:eastAsia="Calibri" w:cs="Times New Roman"/>
        </w:rPr>
        <w:t xml:space="preserve"> </w:t>
      </w:r>
      <w:r w:rsidRPr="00EE315E">
        <w:rPr>
          <w:rFonts w:eastAsia="Calibri" w:cs="Times New Roman"/>
          <w:b/>
          <w:u w:val="single"/>
        </w:rPr>
        <w:t>fell into disfavor, and</w:t>
      </w:r>
      <w:r w:rsidRPr="00EE315E">
        <w:rPr>
          <w:rFonts w:eastAsia="Calibri" w:cs="Times New Roman"/>
        </w:rPr>
        <w:t xml:space="preserve"> </w:t>
      </w:r>
      <w:r w:rsidRPr="00EE315E">
        <w:rPr>
          <w:rFonts w:eastAsia="Calibri" w:cs="Times New Roman"/>
          <w:color w:val="A6A6A6"/>
          <w:sz w:val="12"/>
        </w:rPr>
        <w:t>adult basic education and</w:t>
      </w:r>
      <w:r w:rsidRPr="00EE315E">
        <w:rPr>
          <w:rFonts w:eastAsia="Calibri" w:cs="Times New Roman"/>
        </w:rPr>
        <w:t xml:space="preserve"> </w:t>
      </w:r>
      <w:r w:rsidRPr="00EE315E">
        <w:rPr>
          <w:rFonts w:eastAsia="Calibri" w:cs="Times New Roman"/>
          <w:b/>
          <w:u w:val="single"/>
        </w:rPr>
        <w:t>vocational education programs reasserted their primacy</w:t>
      </w:r>
      <w:r w:rsidRPr="00EE315E">
        <w:rPr>
          <w:rFonts w:eastAsia="Calibri" w:cs="Times New Roman"/>
          <w:color w:val="A6A6A6"/>
          <w:sz w:val="12"/>
        </w:rPr>
        <w:t xml:space="preserve"> in the penal system (Wright, 2001). Vocational programs in prison included plumbing, carpentry, electrical wiring, painting, heating and air conditioning as well as computer literacy. In addition, the emphasis on job training spilled over into the </w:t>
      </w:r>
      <w:r w:rsidRPr="00EE315E">
        <w:rPr>
          <w:rFonts w:eastAsia="Calibri" w:cs="Times New Roman"/>
          <w:b/>
          <w:u w:val="single"/>
        </w:rPr>
        <w:t>language arts and math</w:t>
      </w:r>
      <w:r w:rsidRPr="00EE315E">
        <w:rPr>
          <w:rFonts w:eastAsia="Calibri" w:cs="Times New Roman"/>
          <w:color w:val="A6A6A6"/>
          <w:sz w:val="12"/>
        </w:rPr>
        <w:t xml:space="preserve"> programs as they </w:t>
      </w:r>
      <w:r w:rsidRPr="00EE315E">
        <w:rPr>
          <w:rFonts w:eastAsia="Calibri" w:cs="Times New Roman"/>
          <w:b/>
          <w:u w:val="single"/>
        </w:rPr>
        <w:t>were retooled to focus on technical</w:t>
      </w:r>
      <w:r w:rsidRPr="00EE315E">
        <w:rPr>
          <w:rFonts w:eastAsia="Calibri" w:cs="Times New Roman"/>
          <w:color w:val="A6A6A6"/>
          <w:sz w:val="12"/>
        </w:rPr>
        <w:t xml:space="preserve"> and applied </w:t>
      </w:r>
      <w:r w:rsidRPr="00EE315E">
        <w:rPr>
          <w:rFonts w:eastAsia="Calibri" w:cs="Times New Roman"/>
          <w:b/>
          <w:u w:val="single"/>
        </w:rPr>
        <w:t>reading and writing</w:t>
      </w:r>
      <w:r w:rsidRPr="00EE315E">
        <w:rPr>
          <w:rFonts w:eastAsia="Calibri" w:cs="Times New Roman"/>
        </w:rPr>
        <w:t xml:space="preserve"> </w:t>
      </w:r>
      <w:r w:rsidRPr="00EE315E">
        <w:rPr>
          <w:rFonts w:eastAsia="Calibri" w:cs="Times New Roman"/>
          <w:color w:val="A6A6A6"/>
          <w:sz w:val="12"/>
        </w:rPr>
        <w:t>(Steuer, 2001).</w:t>
      </w:r>
      <w:r w:rsidRPr="00EE315E">
        <w:rPr>
          <w:rFonts w:eastAsia="Calibri" w:cs="Times New Roman"/>
        </w:rPr>
        <w:t xml:space="preserve"> </w:t>
      </w:r>
      <w:r w:rsidRPr="00EE315E">
        <w:rPr>
          <w:rFonts w:eastAsia="Calibri" w:cs="Times New Roman"/>
          <w:color w:val="A6A6A6"/>
          <w:sz w:val="12"/>
        </w:rPr>
        <w:t>Between 1995 and 2000,</w:t>
      </w:r>
      <w:r w:rsidRPr="00EE315E">
        <w:rPr>
          <w:rFonts w:eastAsia="Calibri" w:cs="Times New Roman"/>
        </w:rPr>
        <w:t xml:space="preserve"> </w:t>
      </w:r>
      <w:r w:rsidRPr="00EE315E">
        <w:rPr>
          <w:rFonts w:eastAsia="Calibri" w:cs="Times New Roman"/>
          <w:b/>
          <w:u w:val="single"/>
        </w:rPr>
        <w:t>the percentage of state prisons offering college courses decreased</w:t>
      </w:r>
      <w:r w:rsidRPr="00EE315E">
        <w:rPr>
          <w:rFonts w:eastAsia="Calibri" w:cs="Times New Roman"/>
        </w:rPr>
        <w:t xml:space="preserve"> </w:t>
      </w:r>
      <w:r w:rsidRPr="00EE315E">
        <w:rPr>
          <w:rFonts w:eastAsia="Calibri" w:cs="Times New Roman"/>
          <w:color w:val="A6A6A6"/>
          <w:sz w:val="12"/>
        </w:rPr>
        <w:t xml:space="preserve">from 31% to 26% </w:t>
      </w:r>
      <w:r w:rsidRPr="00EE315E">
        <w:rPr>
          <w:rFonts w:eastAsia="Calibri" w:cs="Times New Roman"/>
          <w:b/>
          <w:u w:val="single"/>
        </w:rPr>
        <w:t>while</w:t>
      </w:r>
      <w:r w:rsidRPr="00EE315E">
        <w:rPr>
          <w:rFonts w:eastAsia="Calibri" w:cs="Times New Roman"/>
          <w:color w:val="A6A6A6"/>
          <w:sz w:val="12"/>
        </w:rPr>
        <w:t xml:space="preserve"> those offering basic adult education increased from 76% to 80%. State prisons offering</w:t>
      </w:r>
      <w:r w:rsidRPr="00EE315E">
        <w:rPr>
          <w:rFonts w:eastAsia="Calibri" w:cs="Times New Roman"/>
        </w:rPr>
        <w:t xml:space="preserve"> </w:t>
      </w:r>
      <w:r w:rsidRPr="00EE315E">
        <w:rPr>
          <w:rFonts w:eastAsia="Calibri" w:cs="Times New Roman"/>
          <w:b/>
          <w:u w:val="single"/>
        </w:rPr>
        <w:t>vocational education increased</w:t>
      </w:r>
      <w:r w:rsidRPr="00EE315E">
        <w:rPr>
          <w:rFonts w:eastAsia="Calibri" w:cs="Times New Roman"/>
        </w:rPr>
        <w:t xml:space="preserve"> </w:t>
      </w:r>
      <w:r w:rsidRPr="00EE315E">
        <w:rPr>
          <w:rFonts w:eastAsia="Calibri" w:cs="Times New Roman"/>
          <w:color w:val="A6A6A6"/>
          <w:sz w:val="12"/>
        </w:rPr>
        <w:t>from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EE315E">
        <w:rPr>
          <w:rFonts w:eastAsia="Calibri" w:cs="Times New Roman"/>
        </w:rPr>
        <w:t xml:space="preserve"> </w:t>
      </w:r>
      <w:r w:rsidRPr="00EE315E">
        <w:rPr>
          <w:rFonts w:eastAsia="Calibri" w:cs="Times New Roman"/>
          <w:b/>
          <w:u w:val="single"/>
        </w:rPr>
        <w:t>liberal arts</w:t>
      </w:r>
      <w:r w:rsidRPr="00EE315E">
        <w:rPr>
          <w:rFonts w:eastAsia="Calibri" w:cs="Times New Roman"/>
        </w:rPr>
        <w:t xml:space="preserve"> </w:t>
      </w:r>
      <w:r w:rsidRPr="00EE315E">
        <w:rPr>
          <w:rFonts w:eastAsia="Calibri" w:cs="Times New Roman"/>
          <w:color w:val="A6A6A6"/>
          <w:sz w:val="12"/>
        </w:rPr>
        <w:t>curriculum,</w:t>
      </w:r>
      <w:r w:rsidRPr="00EE315E">
        <w:rPr>
          <w:rFonts w:eastAsia="Calibri" w:cs="Times New Roman"/>
        </w:rPr>
        <w:t xml:space="preserve"> </w:t>
      </w:r>
      <w:r w:rsidRPr="00EE315E">
        <w:rPr>
          <w:rFonts w:eastAsia="Calibri" w:cs="Times New Roman"/>
          <w:b/>
          <w:u w:val="single"/>
        </w:rPr>
        <w:t>which</w:t>
      </w:r>
      <w:r w:rsidRPr="00EE315E">
        <w:rPr>
          <w:rFonts w:eastAsia="Calibri" w:cs="Times New Roman"/>
        </w:rPr>
        <w:t xml:space="preserve"> </w:t>
      </w:r>
      <w:r w:rsidRPr="00EE315E">
        <w:rPr>
          <w:rFonts w:eastAsia="Calibri" w:cs="Times New Roman"/>
          <w:color w:val="A6A6A6"/>
          <w:sz w:val="12"/>
        </w:rPr>
        <w:t xml:space="preserve">often </w:t>
      </w:r>
      <w:r w:rsidRPr="00EE315E">
        <w:rPr>
          <w:rFonts w:eastAsia="Calibri" w:cs="Times New Roman"/>
          <w:b/>
          <w:u w:val="single"/>
        </w:rPr>
        <w:t>emphasizes critical thinking,</w:t>
      </w:r>
      <w:r w:rsidRPr="00EE315E">
        <w:rPr>
          <w:rFonts w:eastAsia="Calibri" w:cs="Times New Roman"/>
        </w:rPr>
        <w:t xml:space="preserve"> </w:t>
      </w:r>
      <w:r w:rsidRPr="00EE315E">
        <w:rPr>
          <w:rFonts w:eastAsia="Calibri" w:cs="Times New Roman"/>
          <w:color w:val="A6A6A6"/>
          <w:sz w:val="12"/>
        </w:rPr>
        <w:t>intellectual and</w:t>
      </w:r>
      <w:r w:rsidRPr="00EE315E">
        <w:rPr>
          <w:rFonts w:eastAsia="Calibri" w:cs="Times New Roman"/>
        </w:rPr>
        <w:t xml:space="preserve"> </w:t>
      </w:r>
      <w:r w:rsidRPr="00EE315E">
        <w:rPr>
          <w:rFonts w:eastAsia="Calibri" w:cs="Times New Roman"/>
          <w:b/>
          <w:u w:val="single"/>
        </w:rPr>
        <w:t>moral reasoning and development of an inmate</w:t>
      </w:r>
      <w:r w:rsidRPr="00EE315E">
        <w:rPr>
          <w:rFonts w:ascii="Times New Roman" w:eastAsia="Calibri" w:hAnsi="Times New Roman" w:cs="Times New Roman"/>
          <w:b/>
          <w:u w:val="single"/>
        </w:rPr>
        <w:t>’</w:t>
      </w:r>
      <w:r w:rsidRPr="00EE315E">
        <w:rPr>
          <w:rFonts w:eastAsia="Calibri" w:cs="Georgia"/>
          <w:b/>
          <w:u w:val="single"/>
        </w:rPr>
        <w:t xml:space="preserve">s sense of self </w:t>
      </w:r>
      <w:r w:rsidRPr="00EE315E">
        <w:rPr>
          <w:rFonts w:eastAsia="Calibri" w:cs="Times New Roman"/>
          <w:b/>
          <w:u w:val="single"/>
        </w:rPr>
        <w:t>may pose a challenge to the established order of a correctional facility</w:t>
      </w:r>
      <w:r w:rsidRPr="00EE315E">
        <w:rPr>
          <w:rFonts w:eastAsia="Calibri" w:cs="Times New Roman"/>
          <w:color w:val="A6A6A6"/>
          <w:sz w:val="12"/>
        </w:rPr>
        <w:t xml:space="preserve">” (p. 13). In addition, </w:t>
      </w:r>
      <w:r w:rsidRPr="00EE315E">
        <w:rPr>
          <w:rFonts w:eastAsia="Calibri" w:cs="Times New Roman"/>
          <w:b/>
          <w:u w:val="single"/>
        </w:rPr>
        <w:t>with Pell Grants gone, prison</w:t>
      </w:r>
      <w:r w:rsidRPr="00EE315E">
        <w:rPr>
          <w:rFonts w:eastAsia="Calibri" w:cs="Times New Roman"/>
          <w:color w:val="A6A6A6"/>
          <w:sz w:val="12"/>
        </w:rPr>
        <w:t xml:space="preserve">er </w:t>
      </w:r>
      <w:r w:rsidRPr="00EE315E">
        <w:rPr>
          <w:rFonts w:eastAsia="Calibri" w:cs="Times New Roman"/>
          <w:b/>
          <w:u w:val="single"/>
        </w:rPr>
        <w:t>education</w:t>
      </w:r>
      <w:r w:rsidRPr="00EE315E">
        <w:rPr>
          <w:rFonts w:eastAsia="Calibri" w:cs="Times New Roman"/>
        </w:rPr>
        <w:t xml:space="preserve"> </w:t>
      </w:r>
      <w:r w:rsidRPr="00EE315E">
        <w:rPr>
          <w:rFonts w:eastAsia="Calibri" w:cs="Times New Roman"/>
          <w:color w:val="A6A6A6"/>
          <w:sz w:val="12"/>
        </w:rPr>
        <w:t>programs</w:t>
      </w:r>
      <w:r w:rsidRPr="00EE315E">
        <w:rPr>
          <w:rFonts w:eastAsia="Calibri" w:cs="Times New Roman"/>
        </w:rPr>
        <w:t xml:space="preserve"> </w:t>
      </w:r>
      <w:r w:rsidRPr="00EE315E">
        <w:rPr>
          <w:rFonts w:eastAsia="Calibri" w:cs="Times New Roman"/>
          <w:b/>
          <w:u w:val="single"/>
        </w:rPr>
        <w:t>became</w:t>
      </w:r>
      <w:r w:rsidRPr="00EE315E">
        <w:rPr>
          <w:rFonts w:eastAsia="Calibri" w:cs="Times New Roman"/>
          <w:color w:val="A6A6A6"/>
          <w:sz w:val="12"/>
        </w:rPr>
        <w:t xml:space="preserve"> more</w:t>
      </w:r>
      <w:r w:rsidRPr="00EE315E">
        <w:rPr>
          <w:rFonts w:eastAsia="Calibri" w:cs="Times New Roman"/>
        </w:rPr>
        <w:t xml:space="preserve"> </w:t>
      </w:r>
      <w:r w:rsidRPr="00EE315E">
        <w:rPr>
          <w:rFonts w:eastAsia="Calibri" w:cs="Times New Roman"/>
          <w:b/>
          <w:u w:val="single"/>
        </w:rPr>
        <w:t>dependent</w:t>
      </w:r>
      <w:r w:rsidRPr="00EE315E">
        <w:rPr>
          <w:rFonts w:eastAsia="Calibri" w:cs="Times New Roman"/>
        </w:rPr>
        <w:t xml:space="preserve"> </w:t>
      </w:r>
      <w:r w:rsidRPr="00EE315E">
        <w:rPr>
          <w:rFonts w:eastAsia="Calibri" w:cs="Times New Roman"/>
          <w:color w:val="A6A6A6"/>
          <w:sz w:val="12"/>
        </w:rPr>
        <w:t>up</w:t>
      </w:r>
      <w:r w:rsidRPr="00EE315E">
        <w:rPr>
          <w:rFonts w:eastAsia="Calibri" w:cs="Times New Roman"/>
          <w:b/>
          <w:u w:val="single"/>
        </w:rPr>
        <w:t xml:space="preserve">on outcome-based funding. </w:t>
      </w:r>
      <w:r w:rsidRPr="00EE315E">
        <w:rPr>
          <w:rFonts w:eastAsia="Calibri" w:cs="Times New Roman"/>
          <w:color w:val="A6A6A6"/>
          <w:sz w:val="12"/>
        </w:rPr>
        <w:t>Performance-based management of these programs, like the parallel evolution in public schools, led to “school report cards” that evaluated the effectiveness of the programs in turning out their product (Linton, 2005). Curricula that can lend to empirical studies, such as testing in basic adult education, were given priority 55 over liberal arts, which seemingly has more nebulous outcomes. According to John Linton (2005) of the U.S. Department of Education</w:t>
      </w:r>
      <w:r w:rsidRPr="00EE315E">
        <w:rPr>
          <w:rFonts w:ascii="Times New Roman" w:eastAsia="Calibri" w:hAnsi="Times New Roman" w:cs="Times New Roman"/>
          <w:color w:val="A6A6A6"/>
          <w:sz w:val="12"/>
        </w:rPr>
        <w:t>‟</w:t>
      </w:r>
      <w:r w:rsidRPr="00EE315E">
        <w:rPr>
          <w:rFonts w:eastAsia="Calibri" w:cs="Georgia"/>
          <w:color w:val="A6A6A6"/>
          <w:sz w:val="12"/>
        </w:rPr>
        <w:t xml:space="preserve">s Correction Education division: </w:t>
      </w:r>
      <w:r w:rsidRPr="00EE315E">
        <w:rPr>
          <w:rFonts w:eastAsia="Calibri" w:cs="Times New Roman"/>
          <w:color w:val="A6A6A6"/>
          <w:sz w:val="12"/>
        </w:rPr>
        <w:t>“The current climate [requires] that expenditure of public funds be restricted to „scientifically proven</w:t>
      </w:r>
      <w:r w:rsidRPr="00EE315E">
        <w:rPr>
          <w:rFonts w:ascii="Times New Roman" w:eastAsia="Calibri" w:hAnsi="Times New Roman" w:cs="Times New Roman"/>
          <w:color w:val="A6A6A6"/>
          <w:sz w:val="12"/>
        </w:rPr>
        <w:t>‟</w:t>
      </w:r>
      <w:r w:rsidRPr="00EE315E">
        <w:rPr>
          <w:rFonts w:eastAsia="Calibri" w:cs="Georgia"/>
          <w:color w:val="A6A6A6"/>
          <w:sz w:val="12"/>
        </w:rPr>
        <w:t xml:space="preserve"> effective interventions” (p. 91). </w:t>
      </w:r>
      <w:r w:rsidRPr="00EE315E">
        <w:rPr>
          <w:rFonts w:eastAsia="Calibri" w:cs="Georgia"/>
          <w:b/>
          <w:u w:val="single"/>
        </w:rPr>
        <w:t xml:space="preserve">Job training fits well to this </w:t>
      </w:r>
      <w:r w:rsidRPr="00EE315E">
        <w:rPr>
          <w:rFonts w:eastAsia="Calibri" w:cs="Times New Roman"/>
          <w:b/>
          <w:u w:val="single"/>
        </w:rPr>
        <w:lastRenderedPageBreak/>
        <w:t>regime because</w:t>
      </w:r>
      <w:r w:rsidRPr="00EE315E">
        <w:rPr>
          <w:rFonts w:eastAsia="Calibri" w:cs="Times New Roman"/>
        </w:rPr>
        <w:t xml:space="preserve"> </w:t>
      </w:r>
      <w:r w:rsidRPr="00EE315E">
        <w:rPr>
          <w:rFonts w:eastAsia="Calibri" w:cs="Times New Roman"/>
          <w:color w:val="A6A6A6"/>
          <w:sz w:val="12"/>
        </w:rPr>
        <w:t>the</w:t>
      </w:r>
      <w:r w:rsidRPr="00EE315E">
        <w:rPr>
          <w:rFonts w:eastAsia="Calibri" w:cs="Times New Roman"/>
        </w:rPr>
        <w:t xml:space="preserve"> </w:t>
      </w:r>
      <w:r w:rsidRPr="00EE315E">
        <w:rPr>
          <w:rFonts w:eastAsia="Calibri" w:cs="Times New Roman"/>
          <w:b/>
          <w:u w:val="single"/>
        </w:rPr>
        <w:t>results of the program could be measured empirically through</w:t>
      </w:r>
      <w:r w:rsidRPr="00EE315E">
        <w:rPr>
          <w:rFonts w:eastAsia="Calibri" w:cs="Times New Roman"/>
          <w:color w:val="A6A6A6"/>
          <w:sz w:val="12"/>
        </w:rPr>
        <w:t xml:space="preserve"> the</w:t>
      </w:r>
      <w:r w:rsidRPr="00EE315E">
        <w:rPr>
          <w:rFonts w:eastAsia="Calibri" w:cs="Times New Roman"/>
        </w:rPr>
        <w:t xml:space="preserve"> </w:t>
      </w:r>
      <w:r w:rsidRPr="00EE315E">
        <w:rPr>
          <w:rFonts w:eastAsia="Calibri" w:cs="Times New Roman"/>
          <w:b/>
          <w:u w:val="single"/>
        </w:rPr>
        <w:t>numbers</w:t>
      </w:r>
      <w:r w:rsidRPr="00EE315E">
        <w:rPr>
          <w:rFonts w:eastAsia="Calibri" w:cs="Times New Roman"/>
        </w:rPr>
        <w:t xml:space="preserve"> </w:t>
      </w:r>
      <w:r w:rsidRPr="00EE315E">
        <w:rPr>
          <w:rFonts w:eastAsia="Calibri" w:cs="Times New Roman"/>
          <w:color w:val="A6A6A6"/>
          <w:sz w:val="12"/>
        </w:rPr>
        <w:t>of the test group</w:t>
      </w:r>
      <w:r w:rsidRPr="00EE315E">
        <w:rPr>
          <w:rFonts w:eastAsia="Calibri" w:cs="Times New Roman"/>
        </w:rPr>
        <w:t xml:space="preserve"> </w:t>
      </w:r>
      <w:r w:rsidRPr="00EE315E">
        <w:rPr>
          <w:rFonts w:eastAsia="Calibri" w:cs="Times New Roman"/>
          <w:color w:val="A6A6A6"/>
          <w:sz w:val="12"/>
        </w:rPr>
        <w:t>who are</w:t>
      </w:r>
      <w:r w:rsidRPr="00EE315E">
        <w:rPr>
          <w:rFonts w:eastAsia="Calibri" w:cs="Times New Roman"/>
        </w:rPr>
        <w:t xml:space="preserve"> </w:t>
      </w:r>
      <w:r w:rsidRPr="00EE315E">
        <w:rPr>
          <w:rFonts w:eastAsia="Calibri" w:cs="Times New Roman"/>
          <w:b/>
          <w:u w:val="single"/>
        </w:rPr>
        <w:t>able to obtain work.</w:t>
      </w:r>
      <w:r w:rsidRPr="00EE315E">
        <w:rPr>
          <w:rFonts w:eastAsia="Calibri" w:cs="Times New Roman"/>
        </w:rPr>
        <w:t xml:space="preserve"> </w:t>
      </w:r>
      <w:r w:rsidRPr="00EE315E">
        <w:rPr>
          <w:rFonts w:eastAsia="Calibri" w:cs="Times New Roman"/>
          <w:color w:val="A6A6A6"/>
          <w:sz w:val="12"/>
        </w:rPr>
        <w:t>In addition, recidivism rates could be obtained. Numerous studies have pointed to the inverse relationship between vocational technical programs and recidivism (Hall &amp; Bannatyne, 2000; Mattuci &amp; Johnson, 2003; Young &amp; Mattuci, 2006, Gordon &amp; Weldon, 2003). Empirical studies focusing strictly on recidivism as a measurement of achievement have not been without their faults. In his examination of the more recent works, Charles Ubah (2002) has found a tendency for the inmates to self-select into the programs. These participants were probably more motivated, as a whole, to succeed upon their release, than those who did not participate (Ubah, 2002). Ubah</w:t>
      </w:r>
      <w:r w:rsidRPr="00EE315E">
        <w:rPr>
          <w:rFonts w:ascii="Times New Roman" w:eastAsia="Calibri" w:hAnsi="Times New Roman" w:cs="Times New Roman"/>
          <w:color w:val="A6A6A6"/>
          <w:sz w:val="12"/>
        </w:rPr>
        <w:t>‟</w:t>
      </w:r>
      <w:r w:rsidRPr="00EE315E">
        <w:rPr>
          <w:rFonts w:eastAsia="Calibri" w:cs="Georgia"/>
          <w:color w:val="A6A6A6"/>
          <w:sz w:val="12"/>
        </w:rPr>
        <w:t>s findings bring up ano</w:t>
      </w:r>
      <w:r w:rsidRPr="00EE315E">
        <w:rPr>
          <w:rFonts w:eastAsia="Calibri" w:cs="Times New Roman"/>
          <w:color w:val="A6A6A6"/>
          <w:sz w:val="12"/>
        </w:rPr>
        <w:t>ther important question: What about those who slip through the cracks in the empirical studies? An example may be found in Robert Mattuci</w:t>
      </w:r>
      <w:r w:rsidRPr="00EE315E">
        <w:rPr>
          <w:rFonts w:ascii="Times New Roman" w:eastAsia="Calibri" w:hAnsi="Times New Roman" w:cs="Times New Roman"/>
          <w:color w:val="A6A6A6"/>
          <w:sz w:val="12"/>
        </w:rPr>
        <w:t>‟</w:t>
      </w:r>
      <w:r w:rsidRPr="00EE315E">
        <w:rPr>
          <w:rFonts w:eastAsia="Calibri" w:cs="Georgia"/>
          <w:color w:val="A6A6A6"/>
          <w:sz w:val="12"/>
        </w:rPr>
        <w:t xml:space="preserve">s (2003) description of the </w:t>
      </w:r>
      <w:r w:rsidRPr="00EE315E">
        <w:rPr>
          <w:rFonts w:eastAsia="Calibri" w:cs="Times New Roman"/>
          <w:color w:val="A6A6A6"/>
          <w:sz w:val="12"/>
        </w:rPr>
        <w:t>vocational program that he set up in a New York state prison. It consisted of an eight session program to teach the students basic plumbing skills in order to increase their employment prospects upon release. Mattuci, who had a bachelor</w:t>
      </w:r>
      <w:r w:rsidRPr="00EE315E">
        <w:rPr>
          <w:rFonts w:ascii="Times New Roman" w:eastAsia="Calibri" w:hAnsi="Times New Roman" w:cs="Times New Roman"/>
          <w:color w:val="A6A6A6"/>
          <w:sz w:val="12"/>
        </w:rPr>
        <w:t>‟</w:t>
      </w:r>
      <w:r w:rsidRPr="00EE315E">
        <w:rPr>
          <w:rFonts w:eastAsia="Calibri" w:cs="Georgia"/>
          <w:color w:val="A6A6A6"/>
          <w:sz w:val="12"/>
        </w:rPr>
        <w:t xml:space="preserve">s degree in education </w:t>
      </w:r>
      <w:r w:rsidRPr="00EE315E">
        <w:rPr>
          <w:rFonts w:eastAsia="Calibri" w:cs="Times New Roman"/>
          <w:color w:val="A6A6A6"/>
          <w:sz w:val="12"/>
        </w:rPr>
        <w:t>and twenty years experience as a plumber, appeared to incorporate a well-thought out system of pedagogy. He relates that “many inmates have never known a positive schooling experience so they lack the needed confidence to succeed at learning something new. A key to the program is therefore validating their differences as 56 individuals and accommodating their multiple learning styles” (p. 16). Mattuci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For those influenced by gangs, there is a total lack of respect for the process of setting goals and working toward them” (Mattuci &amp; Johnson, 2003, p. 17).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checks. The perceived and actual impediments to employment can decrease the seeker</w:t>
      </w:r>
      <w:r w:rsidRPr="00EE315E">
        <w:rPr>
          <w:rFonts w:ascii="Times New Roman" w:eastAsia="Calibri" w:hAnsi="Times New Roman" w:cs="Times New Roman"/>
          <w:color w:val="A6A6A6"/>
          <w:sz w:val="12"/>
        </w:rPr>
        <w:t>‟</w:t>
      </w:r>
      <w:r w:rsidRPr="00EE315E">
        <w:rPr>
          <w:rFonts w:eastAsia="Calibri" w:cs="Georgia"/>
          <w:color w:val="A6A6A6"/>
          <w:sz w:val="12"/>
        </w:rPr>
        <w:t xml:space="preserve">s motivation and self image (Pavis, </w:t>
      </w:r>
      <w:r w:rsidRPr="00EE315E">
        <w:rPr>
          <w:rFonts w:eastAsia="Calibri" w:cs="Times New Roman"/>
          <w:color w:val="A6A6A6"/>
          <w:sz w:val="12"/>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EE315E">
        <w:rPr>
          <w:rFonts w:eastAsia="Calibri" w:cs="Times New Roman"/>
        </w:rPr>
        <w:t xml:space="preserve"> </w:t>
      </w:r>
      <w:r w:rsidRPr="00EE315E">
        <w:rPr>
          <w:rFonts w:eastAsia="Calibri" w:cs="Times New Roman"/>
          <w:b/>
          <w:u w:val="single"/>
        </w:rPr>
        <w:t>Friere</w:t>
      </w:r>
      <w:r w:rsidRPr="00EE315E">
        <w:rPr>
          <w:rFonts w:eastAsia="Calibri" w:cs="Times New Roman"/>
        </w:rPr>
        <w:t xml:space="preserve"> </w:t>
      </w:r>
      <w:r w:rsidRPr="00EE315E">
        <w:rPr>
          <w:rFonts w:eastAsia="Calibri" w:cs="Times New Roman"/>
          <w:color w:val="A6A6A6"/>
          <w:sz w:val="12"/>
        </w:rPr>
        <w:t xml:space="preserve">(2004), Giroux (2006) </w:t>
      </w:r>
      <w:r w:rsidRPr="00EE315E">
        <w:rPr>
          <w:rFonts w:eastAsia="Calibri" w:cs="Times New Roman"/>
          <w:b/>
          <w:u w:val="single"/>
        </w:rPr>
        <w:t>and others have called for</w:t>
      </w:r>
      <w:r w:rsidRPr="00EE315E">
        <w:rPr>
          <w:rFonts w:eastAsia="Calibri" w:cs="Times New Roman"/>
        </w:rPr>
        <w:t xml:space="preserve"> </w:t>
      </w:r>
      <w:r w:rsidRPr="00EE315E">
        <w:rPr>
          <w:rFonts w:eastAsia="Calibri" w:cs="Times New Roman"/>
          <w:color w:val="A6A6A6"/>
          <w:sz w:val="12"/>
        </w:rPr>
        <w:t>a</w:t>
      </w:r>
      <w:r w:rsidRPr="00EE315E">
        <w:rPr>
          <w:rFonts w:eastAsia="Calibri" w:cs="Times New Roman"/>
        </w:rPr>
        <w:t xml:space="preserve"> </w:t>
      </w:r>
      <w:r w:rsidRPr="00EE315E">
        <w:rPr>
          <w:rFonts w:eastAsia="Calibri" w:cs="Times New Roman"/>
          <w:b/>
          <w:u w:val="single"/>
        </w:rPr>
        <w:t>pedagogy</w:t>
      </w:r>
      <w:r w:rsidRPr="00EE315E">
        <w:rPr>
          <w:rFonts w:eastAsia="Calibri" w:cs="Times New Roman"/>
        </w:rPr>
        <w:t xml:space="preserve"> </w:t>
      </w:r>
      <w:r w:rsidRPr="00EE315E">
        <w:rPr>
          <w:rFonts w:eastAsia="Calibri" w:cs="Times New Roman"/>
          <w:color w:val="A6A6A6"/>
          <w:sz w:val="12"/>
        </w:rPr>
        <w:t>that is</w:t>
      </w:r>
      <w:r w:rsidRPr="00EE315E">
        <w:rPr>
          <w:rFonts w:eastAsia="Calibri" w:cs="Times New Roman"/>
        </w:rPr>
        <w:t xml:space="preserve"> </w:t>
      </w:r>
      <w:r w:rsidRPr="00EE315E">
        <w:rPr>
          <w:rFonts w:eastAsia="Calibri" w:cs="Times New Roman"/>
          <w:b/>
          <w:u w:val="single"/>
        </w:rPr>
        <w:t>freed from</w:t>
      </w:r>
      <w:r w:rsidRPr="00EE315E">
        <w:rPr>
          <w:rFonts w:eastAsia="Calibri" w:cs="Times New Roman"/>
          <w:color w:val="A6A6A6"/>
          <w:sz w:val="12"/>
        </w:rPr>
        <w:t xml:space="preserve"> the bonds of </w:t>
      </w:r>
      <w:r w:rsidRPr="00EE315E">
        <w:rPr>
          <w:rFonts w:eastAsia="Calibri" w:cs="Times New Roman"/>
          <w:b/>
          <w:u w:val="single"/>
        </w:rPr>
        <w:t>the “bottom-line</w:t>
      </w:r>
      <w:r w:rsidRPr="00EE315E">
        <w:rPr>
          <w:rFonts w:eastAsia="Calibri" w:cs="Times New Roman"/>
          <w:color w:val="A6A6A6"/>
          <w:sz w:val="12"/>
        </w:rPr>
        <w:t>.</w:t>
      </w:r>
      <w:r w:rsidRPr="00EE315E">
        <w:rPr>
          <w:rFonts w:eastAsia="Calibri" w:cs="Times New Roman"/>
          <w:b/>
          <w:u w:val="single"/>
        </w:rPr>
        <w:t>”</w:t>
      </w:r>
      <w:r w:rsidRPr="00EE315E">
        <w:rPr>
          <w:rFonts w:eastAsia="Calibri" w:cs="Times New Roman"/>
        </w:rPr>
        <w:t xml:space="preserve"> </w:t>
      </w:r>
      <w:r w:rsidRPr="00EE315E">
        <w:rPr>
          <w:rFonts w:eastAsia="Calibri" w:cs="Times New Roman"/>
          <w:color w:val="A6A6A6"/>
          <w:sz w:val="12"/>
        </w:rPr>
        <w:t xml:space="preserve">Mike Cole (2005) puts it succinctly, </w:t>
      </w:r>
      <w:r w:rsidRPr="00EE315E">
        <w:rPr>
          <w:rFonts w:eastAsia="Calibri" w:cs="Times New Roman"/>
          <w:b/>
          <w:u w:val="single"/>
        </w:rPr>
        <w:t>calling for schools to become sites where “teachers</w:t>
      </w:r>
      <w:r w:rsidRPr="00EE315E">
        <w:rPr>
          <w:rFonts w:eastAsia="Calibri" w:cs="Times New Roman"/>
          <w:b/>
          <w:color w:val="A6A6A6"/>
          <w:sz w:val="12"/>
          <w:u w:val="single"/>
        </w:rPr>
        <w:t>,</w:t>
      </w:r>
      <w:r w:rsidRPr="00EE315E">
        <w:rPr>
          <w:rFonts w:eastAsia="Calibri" w:cs="Times New Roman"/>
          <w:color w:val="A6A6A6"/>
          <w:sz w:val="12"/>
        </w:rPr>
        <w:t xml:space="preserve"> other school workers</w:t>
      </w:r>
      <w:r w:rsidRPr="00EE315E">
        <w:rPr>
          <w:rFonts w:eastAsia="Calibri" w:cs="Times New Roman"/>
        </w:rPr>
        <w:t xml:space="preserve"> </w:t>
      </w:r>
      <w:r w:rsidRPr="00EE315E">
        <w:rPr>
          <w:rFonts w:eastAsia="Calibri" w:cs="Times New Roman"/>
          <w:b/>
          <w:u w:val="single"/>
        </w:rPr>
        <w:t>and</w:t>
      </w:r>
      <w:r w:rsidRPr="00EE315E">
        <w:rPr>
          <w:rFonts w:eastAsia="Calibri" w:cs="Times New Roman"/>
        </w:rPr>
        <w:t xml:space="preserve"> </w:t>
      </w:r>
      <w:r w:rsidRPr="00EE315E">
        <w:rPr>
          <w:rFonts w:eastAsia="Calibri" w:cs="Times New Roman"/>
          <w:color w:val="A6A6A6"/>
          <w:sz w:val="12"/>
        </w:rPr>
        <w:t>pupils/</w:t>
      </w:r>
      <w:r w:rsidRPr="00EE315E">
        <w:rPr>
          <w:rFonts w:eastAsia="Calibri" w:cs="Times New Roman"/>
          <w:b/>
          <w:u w:val="single"/>
        </w:rPr>
        <w:t>students</w:t>
      </w:r>
      <w:r w:rsidRPr="00EE315E">
        <w:rPr>
          <w:rFonts w:eastAsia="Calibri" w:cs="Times New Roman"/>
        </w:rPr>
        <w:t xml:space="preserve"> </w:t>
      </w:r>
      <w:r w:rsidRPr="00EE315E">
        <w:rPr>
          <w:rFonts w:eastAsia="Calibri" w:cs="Times New Roman"/>
          <w:color w:val="A6A6A6"/>
          <w:sz w:val="12"/>
        </w:rPr>
        <w:t>not only</w:t>
      </w:r>
      <w:r w:rsidRPr="00EE315E">
        <w:rPr>
          <w:rFonts w:eastAsia="Calibri" w:cs="Times New Roman"/>
        </w:rPr>
        <w:t xml:space="preserve"> </w:t>
      </w:r>
      <w:r w:rsidRPr="00EE315E">
        <w:rPr>
          <w:rFonts w:eastAsia="Calibri" w:cs="Times New Roman"/>
          <w:b/>
          <w:u w:val="single"/>
        </w:rPr>
        <w:t>agitate for changes</w:t>
      </w:r>
      <w:r w:rsidRPr="00EE315E">
        <w:rPr>
          <w:rFonts w:eastAsia="Calibri" w:cs="Times New Roman"/>
        </w:rPr>
        <w:t xml:space="preserve"> </w:t>
      </w:r>
      <w:r w:rsidRPr="00EE315E">
        <w:rPr>
          <w:rFonts w:eastAsia="Calibri" w:cs="Times New Roman"/>
          <w:color w:val="A6A6A6"/>
          <w:sz w:val="12"/>
        </w:rPr>
        <w:t>within the classroom and within the institutional context of the school, but also support a transformation in the objective conditions in which students and their parents labor” (p. 16). In this vision, there is no room for docile workers. Schools would be transformed into emancipatory institutions where workers would not only be provided basic literacy, vocational skills and liberal arts, but would also learn to advocate for a better world. I explore this possibility further in Chapter 5.</w:t>
      </w:r>
    </w:p>
    <w:p w:rsidR="00EE315E" w:rsidRPr="00EE315E" w:rsidRDefault="00EE315E" w:rsidP="00EE315E">
      <w:pPr>
        <w:ind w:right="-1"/>
        <w:rPr>
          <w:rFonts w:eastAsia="Calibri" w:cs="Times New Roman"/>
          <w:szCs w:val="22"/>
        </w:rPr>
      </w:pPr>
    </w:p>
    <w:p w:rsidR="00EE315E" w:rsidRPr="00EE315E" w:rsidRDefault="00EE315E" w:rsidP="00EE315E">
      <w:pPr>
        <w:rPr>
          <w:rFonts w:eastAsia="Calibri" w:cs="Times New Roman"/>
        </w:rPr>
      </w:pPr>
    </w:p>
    <w:p w:rsidR="00EE315E" w:rsidRPr="00EE315E" w:rsidRDefault="00EE315E" w:rsidP="00EE315E"/>
    <w:sectPr w:rsidR="00EE315E" w:rsidRPr="00EE315E" w:rsidSect="007C5A63">
      <w:headerReference w:type="default" r:id="rId9"/>
      <w:footerReference w:type="default" r:id="rId10"/>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DCC" w:rsidRDefault="00854DCC" w:rsidP="00196578">
      <w:r>
        <w:separator/>
      </w:r>
    </w:p>
  </w:endnote>
  <w:endnote w:type="continuationSeparator" w:id="0">
    <w:p w:rsidR="00854DCC" w:rsidRDefault="00854DCC"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911627"/>
      <w:docPartObj>
        <w:docPartGallery w:val="Page Numbers (Bottom of Page)"/>
        <w:docPartUnique/>
      </w:docPartObj>
    </w:sdtPr>
    <w:sdtEndPr/>
    <w:sdtContent>
      <w:sdt>
        <w:sdtPr>
          <w:id w:val="-1669238322"/>
          <w:docPartObj>
            <w:docPartGallery w:val="Page Numbers (Top of Page)"/>
            <w:docPartUnique/>
          </w:docPartObj>
        </w:sdtPr>
        <w:sdtEndPr/>
        <w:sdtContent>
          <w:p w:rsidR="00B8321C" w:rsidRDefault="00B8321C">
            <w:pPr>
              <w:pStyle w:val="Footer"/>
              <w:jc w:val="center"/>
            </w:pPr>
            <w:r>
              <w:t xml:space="preserve">Page </w:t>
            </w:r>
            <w:r w:rsidR="00932EB3">
              <w:rPr>
                <w:b/>
                <w:bCs/>
              </w:rPr>
              <w:fldChar w:fldCharType="begin"/>
            </w:r>
            <w:r>
              <w:rPr>
                <w:b/>
                <w:bCs/>
              </w:rPr>
              <w:instrText xml:space="preserve"> PAGE </w:instrText>
            </w:r>
            <w:r w:rsidR="00932EB3">
              <w:rPr>
                <w:b/>
                <w:bCs/>
              </w:rPr>
              <w:fldChar w:fldCharType="separate"/>
            </w:r>
            <w:r w:rsidR="00762C54">
              <w:rPr>
                <w:b/>
                <w:bCs/>
                <w:noProof/>
              </w:rPr>
              <w:t>1</w:t>
            </w:r>
            <w:r w:rsidR="00932EB3">
              <w:rPr>
                <w:b/>
                <w:bCs/>
              </w:rPr>
              <w:fldChar w:fldCharType="end"/>
            </w:r>
            <w:r>
              <w:t xml:space="preserve"> of </w:t>
            </w:r>
            <w:r w:rsidR="00932EB3">
              <w:rPr>
                <w:b/>
                <w:bCs/>
              </w:rPr>
              <w:fldChar w:fldCharType="begin"/>
            </w:r>
            <w:r>
              <w:rPr>
                <w:b/>
                <w:bCs/>
              </w:rPr>
              <w:instrText xml:space="preserve"> NUMPAGES  </w:instrText>
            </w:r>
            <w:r w:rsidR="00932EB3">
              <w:rPr>
                <w:b/>
                <w:bCs/>
              </w:rPr>
              <w:fldChar w:fldCharType="separate"/>
            </w:r>
            <w:r w:rsidR="00762C54">
              <w:rPr>
                <w:b/>
                <w:bCs/>
                <w:noProof/>
              </w:rPr>
              <w:t>18</w:t>
            </w:r>
            <w:r w:rsidR="00932EB3">
              <w:rPr>
                <w:b/>
                <w:bCs/>
              </w:rPr>
              <w:fldChar w:fldCharType="end"/>
            </w:r>
          </w:p>
        </w:sdtContent>
      </w:sdt>
    </w:sdtContent>
  </w:sdt>
  <w:p w:rsidR="00B8321C" w:rsidRDefault="00B832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DCC" w:rsidRDefault="00854DCC" w:rsidP="00196578">
      <w:r>
        <w:separator/>
      </w:r>
    </w:p>
  </w:footnote>
  <w:footnote w:type="continuationSeparator" w:id="0">
    <w:p w:rsidR="00854DCC" w:rsidRDefault="00854DCC" w:rsidP="00196578">
      <w:r>
        <w:continuationSeparator/>
      </w:r>
    </w:p>
  </w:footnote>
  <w:footnote w:id="1">
    <w:p w:rsidR="00F85E31" w:rsidRPr="00B8321C" w:rsidRDefault="00F85E31" w:rsidP="00F85E31">
      <w:pPr>
        <w:pStyle w:val="FootnoteText"/>
        <w:rPr>
          <w:sz w:val="16"/>
          <w:szCs w:val="16"/>
        </w:rPr>
      </w:pPr>
      <w:r w:rsidRPr="00B8321C">
        <w:rPr>
          <w:rStyle w:val="FootnoteReference"/>
          <w:sz w:val="16"/>
          <w:szCs w:val="16"/>
        </w:rPr>
        <w:footnoteRef/>
      </w:r>
      <w:r w:rsidRPr="00B8321C">
        <w:rPr>
          <w:sz w:val="16"/>
          <w:szCs w:val="16"/>
        </w:rPr>
        <w:t xml:space="preserve"> Joe Lockard (associate professor of English at Arizona State University). “Prison Makes You Christian,” Souciant.com. May 1</w:t>
      </w:r>
      <w:r w:rsidRPr="00B8321C">
        <w:rPr>
          <w:sz w:val="16"/>
          <w:szCs w:val="16"/>
          <w:vertAlign w:val="superscript"/>
        </w:rPr>
        <w:t>st</w:t>
      </w:r>
      <w:r w:rsidRPr="00B8321C">
        <w:rPr>
          <w:sz w:val="16"/>
          <w:szCs w:val="16"/>
        </w:rPr>
        <w:t>, 2012. http://souciant.com/2012/05/prison-makes-you-christian/</w:t>
      </w:r>
    </w:p>
  </w:footnote>
  <w:footnote w:id="2">
    <w:p w:rsidR="00B03256" w:rsidRPr="00B8321C" w:rsidRDefault="00B03256" w:rsidP="00B03256">
      <w:pPr>
        <w:pStyle w:val="FootnoteText"/>
        <w:rPr>
          <w:sz w:val="16"/>
          <w:szCs w:val="16"/>
        </w:rPr>
      </w:pPr>
      <w:r w:rsidRPr="00B8321C">
        <w:rPr>
          <w:rStyle w:val="FootnoteReference"/>
          <w:sz w:val="16"/>
          <w:szCs w:val="16"/>
        </w:rPr>
        <w:footnoteRef/>
      </w:r>
      <w:r w:rsidRPr="00B8321C">
        <w:rPr>
          <w:sz w:val="16"/>
          <w:szCs w:val="16"/>
        </w:rPr>
        <w:t xml:space="preserve"> “Education in Prisons,” Anne Buzzini, JD, Southwestern University School of Law. April 21</w:t>
      </w:r>
      <w:r w:rsidRPr="00B8321C">
        <w:rPr>
          <w:sz w:val="16"/>
          <w:szCs w:val="16"/>
          <w:vertAlign w:val="superscript"/>
        </w:rPr>
        <w:t>st</w:t>
      </w:r>
      <w:r w:rsidRPr="00B8321C">
        <w:rPr>
          <w:sz w:val="16"/>
          <w:szCs w:val="16"/>
        </w:rPr>
        <w:t>, 2009. http://www.docstoc.com/docs/5576868/Education-in-Prisons</w:t>
      </w:r>
    </w:p>
  </w:footnote>
  <w:footnote w:id="3">
    <w:p w:rsidR="00F85E31" w:rsidRPr="00B8321C" w:rsidRDefault="00F85E31" w:rsidP="00F85E31">
      <w:pPr>
        <w:rPr>
          <w:bCs/>
          <w:sz w:val="16"/>
          <w:szCs w:val="16"/>
        </w:rPr>
      </w:pPr>
      <w:r w:rsidRPr="00B8321C">
        <w:rPr>
          <w:rStyle w:val="FootnoteReference"/>
          <w:sz w:val="16"/>
          <w:szCs w:val="16"/>
        </w:rPr>
        <w:footnoteRef/>
      </w:r>
      <w:r w:rsidRPr="00B8321C">
        <w:rPr>
          <w:sz w:val="16"/>
          <w:szCs w:val="16"/>
        </w:rPr>
        <w:t xml:space="preserve"> </w:t>
      </w:r>
      <w:r w:rsidRPr="00B8321C">
        <w:rPr>
          <w:bCs/>
          <w:sz w:val="16"/>
          <w:szCs w:val="16"/>
        </w:rPr>
        <w:t xml:space="preserve">Joseph George Caldwell, PhD, The End of the World, and the New World Order, updae of an article published 10/26/00, March 6, 2003, </w:t>
      </w:r>
      <w:hyperlink r:id="rId1" w:history="1">
        <w:r w:rsidRPr="00B8321C">
          <w:rPr>
            <w:rStyle w:val="Hyperlink"/>
            <w:sz w:val="16"/>
            <w:szCs w:val="16"/>
          </w:rPr>
          <w:t>www.foundation.bw/TheEndOfTheWorld.htm</w:t>
        </w:r>
      </w:hyperlink>
      <w:r w:rsidRPr="00B8321C">
        <w:rPr>
          <w:bCs/>
          <w:sz w:val="16"/>
          <w:szCs w:val="16"/>
        </w:rPr>
        <w:t>.</w:t>
      </w:r>
    </w:p>
  </w:footnote>
  <w:footnote w:id="4">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“When soft power is hard,” Richard Falk, United Nations Special Rapporteur on Palestinian human rights. Al Jazzera Opinion. July 28</w:t>
      </w:r>
      <w:r w:rsidRPr="00B8321C">
        <w:rPr>
          <w:sz w:val="16"/>
          <w:szCs w:val="16"/>
          <w:vertAlign w:val="superscript"/>
        </w:rPr>
        <w:t>th</w:t>
      </w:r>
      <w:r w:rsidRPr="00B8321C">
        <w:rPr>
          <w:sz w:val="16"/>
          <w:szCs w:val="16"/>
        </w:rPr>
        <w:t>, 2012. http://www.aljazeera.com/indepth/opinion/2012/07/201272212435524825.html</w:t>
      </w:r>
    </w:p>
  </w:footnote>
  <w:footnote w:id="5">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Joseph Nye (Distinguished Service Professor at Harvard, and previous dean of Harvard’s John F. Kennedy School of Government) and Richard Armitage (13th United States Deputy Secretary of State, the second-in-command at the State Department, serving from 2001 to 2005), “CSIS Reports – A Smarter, More Secure America”, 11/6, </w:t>
      </w:r>
      <w:r w:rsidRPr="00B8321C">
        <w:rPr>
          <w:bCs/>
          <w:sz w:val="16"/>
          <w:szCs w:val="16"/>
        </w:rPr>
        <w:t xml:space="preserve">2007 </w:t>
      </w:r>
      <w:hyperlink r:id="rId2" w:history="1">
        <w:r w:rsidRPr="00B8321C">
          <w:rPr>
            <w:rStyle w:val="Hyperlink"/>
            <w:sz w:val="16"/>
            <w:szCs w:val="16"/>
          </w:rPr>
          <w:t>http://www.csis.org/component/option,com_csis_pubs/task,view/id,4156/type,1/</w:t>
        </w:r>
      </w:hyperlink>
    </w:p>
  </w:footnote>
  <w:footnote w:id="6">
    <w:p w:rsidR="00CE4A2D" w:rsidRPr="00B8321C" w:rsidRDefault="00CE4A2D" w:rsidP="00CE4A2D">
      <w:pPr>
        <w:pStyle w:val="FootnoteText"/>
        <w:rPr>
          <w:sz w:val="16"/>
          <w:szCs w:val="16"/>
        </w:rPr>
      </w:pPr>
      <w:r w:rsidRPr="00B8321C">
        <w:rPr>
          <w:rStyle w:val="FootnoteReference"/>
          <w:sz w:val="16"/>
          <w:szCs w:val="16"/>
        </w:rPr>
        <w:footnoteRef/>
      </w:r>
      <w:r w:rsidRPr="00B8321C">
        <w:rPr>
          <w:sz w:val="16"/>
          <w:szCs w:val="16"/>
        </w:rPr>
        <w:t xml:space="preserve"> Kelly Koopmans (co-anchor of KOMO4’s Weekend Morning News at 6 and 7AM, and she reports for KOMO 4 during the week. Kelly grew up on the Eastside and is thrilled to be working for a station she grew up watching.). “Cantwell: As work force retires, who will build Boeing’s planes?” Komo News. July 15</w:t>
      </w:r>
      <w:r w:rsidRPr="00B8321C">
        <w:rPr>
          <w:sz w:val="16"/>
          <w:szCs w:val="16"/>
          <w:vertAlign w:val="superscript"/>
        </w:rPr>
        <w:t>th</w:t>
      </w:r>
      <w:r w:rsidRPr="00B8321C">
        <w:rPr>
          <w:sz w:val="16"/>
          <w:szCs w:val="16"/>
        </w:rPr>
        <w:t>, 2012. http://www.komonews.com/news/boeing/Cantwell-With-retirements-looming-who-will-build-Boeings-planes-162538676.html</w:t>
      </w:r>
    </w:p>
  </w:footnote>
  <w:footnote w:id="7">
    <w:p w:rsidR="00CE4A2D" w:rsidRPr="00B8321C" w:rsidRDefault="00CE4A2D" w:rsidP="00CE4A2D">
      <w:pPr>
        <w:pStyle w:val="FootnoteText"/>
        <w:rPr>
          <w:sz w:val="16"/>
          <w:szCs w:val="16"/>
        </w:rPr>
      </w:pPr>
      <w:r w:rsidRPr="00B8321C">
        <w:rPr>
          <w:rStyle w:val="FootnoteReference"/>
          <w:sz w:val="16"/>
          <w:szCs w:val="16"/>
        </w:rPr>
        <w:footnoteRef/>
      </w:r>
      <w:r w:rsidRPr="00B8321C">
        <w:rPr>
          <w:sz w:val="16"/>
          <w:szCs w:val="16"/>
        </w:rPr>
        <w:t xml:space="preserve"> “Alternative Strategies for Funding Employment-Related Reentry Programs,” Malcolm Young. Soros Justice Fellowship Program, Open Society Institute. May 18</w:t>
      </w:r>
      <w:r w:rsidRPr="00B8321C">
        <w:rPr>
          <w:sz w:val="16"/>
          <w:szCs w:val="16"/>
          <w:vertAlign w:val="superscript"/>
        </w:rPr>
        <w:t>th</w:t>
      </w:r>
      <w:r w:rsidRPr="00B8321C">
        <w:rPr>
          <w:sz w:val="16"/>
          <w:szCs w:val="16"/>
        </w:rPr>
        <w:t>, 2011. http://www.law.northwestern.edu/legalclinic/prison/documents/AlternativeFundingStrategies.pdf</w:t>
      </w:r>
    </w:p>
  </w:footnote>
  <w:footnote w:id="8">
    <w:p w:rsidR="00986F10" w:rsidRPr="00B8321C" w:rsidRDefault="00986F10" w:rsidP="00986F10">
      <w:pPr>
        <w:ind w:right="-1"/>
        <w:rPr>
          <w:sz w:val="16"/>
          <w:szCs w:val="16"/>
        </w:rPr>
      </w:pPr>
      <w:r w:rsidRPr="00B8321C">
        <w:rPr>
          <w:rStyle w:val="FootnoteReference"/>
          <w:sz w:val="16"/>
          <w:szCs w:val="16"/>
        </w:rPr>
        <w:footnoteRef/>
      </w:r>
      <w:r w:rsidRPr="00B8321C">
        <w:rPr>
          <w:sz w:val="16"/>
          <w:szCs w:val="16"/>
        </w:rPr>
        <w:t xml:space="preserve"> Zalmay Khalilzad (PhD from the University of Chicago, counselor at CSIS, permanent representative to the UN) and Ian Lesser (Senior Transatlantic Fellow at the US German Marshall Fund, former Vice President and Director of Studies at the Pacific Council on International Policy), RAND, “Sources of Conflict in the 21st Century”, 1998, p.164-5, </w:t>
      </w:r>
      <w:hyperlink r:id="rId3" w:history="1">
        <w:r w:rsidRPr="00B8321C">
          <w:rPr>
            <w:rStyle w:val="Hyperlink"/>
            <w:sz w:val="16"/>
            <w:szCs w:val="16"/>
          </w:rPr>
          <w:t>http://www.rand.org/pubs/monograph_reports/MR897/MR897.chap3.pdf</w:t>
        </w:r>
      </w:hyperlink>
      <w:r w:rsidRPr="00B8321C">
        <w:rPr>
          <w:sz w:val="16"/>
          <w:szCs w:val="16"/>
        </w:rPr>
        <w:t xml:space="preserve"> </w:t>
      </w:r>
    </w:p>
  </w:footnote>
  <w:footnote w:id="9">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Page, Joshua (UC Berkeley). "Eliminating the Enemy: The Import of Denying Prisoners Access to Higher Education in Clinton's America." Punishment &amp; Society 6 (2004): 357. Web. 24 Apr. 2013.</w:t>
      </w:r>
    </w:p>
  </w:footnote>
  <w:footnote w:id="10">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Rohan Shah. “Are Health Concerns Closely Monitored in Prisons?” JPHAS. Winter 2005, Volume 4, Issue 1. </w:t>
      </w:r>
      <w:hyperlink r:id="rId4" w:history="1">
        <w:r w:rsidRPr="00664BAF">
          <w:rPr>
            <w:rStyle w:val="Hyperlink"/>
            <w:sz w:val="16"/>
            <w:szCs w:val="16"/>
          </w:rPr>
          <w:t>http://www2.uic.edu/orgs/jphas/journal/vol4/issue1/news_rs.shtml</w:t>
        </w:r>
      </w:hyperlink>
    </w:p>
  </w:footnote>
  <w:footnote w:id="11">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Joshua </w:t>
      </w:r>
      <w:r w:rsidRPr="00664BAF">
        <w:rPr>
          <w:bCs/>
          <w:sz w:val="16"/>
          <w:szCs w:val="16"/>
        </w:rPr>
        <w:t>Lederberg (</w:t>
      </w:r>
      <w:r w:rsidRPr="00664BAF">
        <w:rPr>
          <w:sz w:val="16"/>
          <w:szCs w:val="16"/>
        </w:rPr>
        <w:t xml:space="preserve">Molecular biologist and Nobel Prize winner in 1958, </w:t>
      </w:r>
      <w:r w:rsidRPr="00664BAF">
        <w:rPr>
          <w:bCs/>
          <w:sz w:val="16"/>
          <w:szCs w:val="16"/>
        </w:rPr>
        <w:t>1991).</w:t>
      </w:r>
      <w:r w:rsidRPr="00664BAF">
        <w:rPr>
          <w:sz w:val="16"/>
          <w:szCs w:val="16"/>
        </w:rPr>
        <w:t xml:space="preserve"> “In Time of Plague: The History and Social Consequences of Lethal Epidemic Disease.” p 35-6</w:t>
      </w:r>
    </w:p>
  </w:footnote>
  <w:footnote w:id="12">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“Federal Support for Academic Research,” Christine Matthews (specialist in science and tech policy). Congressional Research Service. October 18</w:t>
      </w:r>
      <w:r w:rsidRPr="00B8321C">
        <w:rPr>
          <w:sz w:val="16"/>
          <w:szCs w:val="16"/>
          <w:vertAlign w:val="superscript"/>
        </w:rPr>
        <w:t>th</w:t>
      </w:r>
      <w:r w:rsidRPr="00B8321C">
        <w:rPr>
          <w:sz w:val="16"/>
          <w:szCs w:val="16"/>
        </w:rPr>
        <w:t>, 2012. http://www.fas.org/sgp/crs/misc/R41895.pdf</w:t>
      </w:r>
    </w:p>
  </w:footnote>
  <w:footnote w:id="13">
    <w:p w:rsidR="008A39D7" w:rsidRPr="00B8321C" w:rsidRDefault="008A39D7" w:rsidP="008A39D7">
      <w:pPr>
        <w:pStyle w:val="FootnoteText"/>
        <w:rPr>
          <w:sz w:val="16"/>
          <w:szCs w:val="16"/>
        </w:rPr>
      </w:pPr>
      <w:r w:rsidRPr="00B8321C">
        <w:rPr>
          <w:rStyle w:val="FootnoteReference"/>
          <w:sz w:val="16"/>
          <w:szCs w:val="16"/>
        </w:rPr>
        <w:footnoteRef/>
      </w:r>
      <w:r w:rsidRPr="00B8321C">
        <w:rPr>
          <w:sz w:val="16"/>
          <w:szCs w:val="16"/>
        </w:rPr>
        <w:t xml:space="preserve"> Mentor, Kenneth. "College Courses in Prison." Encyclopedia of Prisons &amp; Correctional Facilities. Ed. . Thousand Oaks, CA: SAGE, 2004. 142-45. SAGE Reference Online.</w:t>
      </w:r>
    </w:p>
  </w:footnote>
  <w:footnote w:id="14">
    <w:p w:rsidR="00EB604C" w:rsidRPr="00B8321C" w:rsidRDefault="00EB604C" w:rsidP="00EB604C">
      <w:pPr>
        <w:rPr>
          <w:sz w:val="16"/>
          <w:szCs w:val="16"/>
        </w:rPr>
      </w:pPr>
      <w:r w:rsidRPr="00B8321C">
        <w:rPr>
          <w:rStyle w:val="FootnoteReference"/>
          <w:sz w:val="16"/>
          <w:szCs w:val="16"/>
        </w:rPr>
        <w:footnoteRef/>
      </w:r>
      <w:r w:rsidRPr="00B8321C">
        <w:rPr>
          <w:sz w:val="16"/>
          <w:szCs w:val="16"/>
        </w:rPr>
        <w:t xml:space="preserve"> David M. Dooley is president of the University of Rhode Island; Christina H. Paxson is president of Brown University. “Protect university research.” Providence Journal. 31 December 2012. </w:t>
      </w:r>
      <w:hyperlink r:id="rId5" w:history="1">
        <w:r w:rsidRPr="00B8321C">
          <w:rPr>
            <w:rStyle w:val="Hyperlink1"/>
            <w:sz w:val="16"/>
            <w:szCs w:val="16"/>
          </w:rPr>
          <w:t>http://blogs.providencejournal.com/ri-talks/this-new-england/2012/12/david-m-dooleychristina-h-paxson-protect-university-research.html</w:t>
        </w:r>
      </w:hyperlink>
      <w:r w:rsidRPr="00B8321C">
        <w:rPr>
          <w:sz w:val="16"/>
          <w:szCs w:val="16"/>
        </w:rPr>
        <w:t xml:space="preserve"> </w:t>
      </w:r>
    </w:p>
  </w:footnote>
  <w:footnote w:id="15">
    <w:p w:rsidR="00EB604C" w:rsidRPr="00B8321C" w:rsidRDefault="00EB604C" w:rsidP="00EB604C">
      <w:pPr>
        <w:rPr>
          <w:sz w:val="16"/>
          <w:szCs w:val="16"/>
        </w:rPr>
      </w:pPr>
      <w:r w:rsidRPr="00B8321C">
        <w:rPr>
          <w:rStyle w:val="FootnoteReference"/>
          <w:sz w:val="16"/>
          <w:szCs w:val="16"/>
        </w:rPr>
        <w:footnoteRef/>
      </w:r>
      <w:r w:rsidRPr="00B8321C">
        <w:rPr>
          <w:sz w:val="16"/>
          <w:szCs w:val="16"/>
        </w:rPr>
        <w:t xml:space="preserve"> Citing Ove Hoegh-Gulberg, Professor @ University of Queensland and Director of the Global Change Institute AND Citing John Bruno, Associate Professor of Marine Science @ UNC (Sify News, “Could unbridled climate changes lead to human extinction?,” June 19</w:t>
      </w:r>
      <w:r w:rsidRPr="00B8321C">
        <w:rPr>
          <w:sz w:val="16"/>
          <w:szCs w:val="16"/>
          <w:vertAlign w:val="superscript"/>
        </w:rPr>
        <w:t>th</w:t>
      </w:r>
      <w:r w:rsidRPr="00B8321C">
        <w:rPr>
          <w:sz w:val="16"/>
          <w:szCs w:val="16"/>
        </w:rPr>
        <w:t xml:space="preserve">, </w:t>
      </w:r>
      <w:hyperlink r:id="rId6" w:history="1">
        <w:r w:rsidRPr="00B8321C">
          <w:rPr>
            <w:rStyle w:val="Hyperlink1"/>
            <w:sz w:val="16"/>
            <w:szCs w:val="16"/>
          </w:rPr>
          <w:t>http://www.sify.com/news/could-unbridled-climate-changes-lead-to-human-extinction-news-international-kgtrOhdaahc.html</w:t>
        </w:r>
      </w:hyperlink>
    </w:p>
  </w:footnote>
  <w:footnote w:id="16">
    <w:p w:rsidR="00234497" w:rsidRPr="005C3CC0" w:rsidRDefault="00234497" w:rsidP="00234497">
      <w:pPr>
        <w:tabs>
          <w:tab w:val="left" w:pos="1755"/>
        </w:tabs>
        <w:contextualSpacing/>
        <w:rPr>
          <w:b/>
          <w:sz w:val="16"/>
          <w:szCs w:val="16"/>
        </w:rPr>
      </w:pPr>
      <w:r w:rsidRPr="005C3CC0">
        <w:rPr>
          <w:rStyle w:val="FootnoteReference"/>
          <w:sz w:val="16"/>
          <w:szCs w:val="16"/>
        </w:rPr>
        <w:footnoteRef/>
      </w:r>
      <w:r w:rsidRPr="005C3CC0">
        <w:rPr>
          <w:sz w:val="16"/>
          <w:szCs w:val="16"/>
        </w:rPr>
        <w:t xml:space="preserve"> Jedediah, director of Cooperative Threat Reduction at the U.S. Department of Defense, Economics of War and Peace: Economic, Legal, and Political Perspectives, pg 213-215</w:t>
      </w:r>
    </w:p>
  </w:footnote>
  <w:footnote w:id="17">
    <w:p w:rsidR="006D4B48" w:rsidRPr="00B8321C" w:rsidRDefault="006D4B48" w:rsidP="006D4B48">
      <w:pPr>
        <w:rPr>
          <w:sz w:val="16"/>
          <w:szCs w:val="16"/>
        </w:rPr>
      </w:pPr>
      <w:r w:rsidRPr="00B8321C">
        <w:rPr>
          <w:rStyle w:val="FootnoteReference"/>
          <w:sz w:val="16"/>
          <w:szCs w:val="16"/>
        </w:rPr>
        <w:footnoteRef/>
      </w:r>
      <w:r w:rsidRPr="00B8321C">
        <w:rPr>
          <w:sz w:val="16"/>
          <w:szCs w:val="16"/>
        </w:rPr>
        <w:t xml:space="preserve"> Nick Bostrom (Future of Humanity Institute, Oxford Martin School &amp; Faculty of Philosophy, University of Oxford), “THE CONCEPT OF EXISTENTIAL RISK”, 2011 </w:t>
      </w:r>
      <w:hyperlink r:id="rId7" w:history="1">
        <w:r w:rsidRPr="00B8321C">
          <w:rPr>
            <w:rStyle w:val="Hyperlink"/>
            <w:sz w:val="16"/>
            <w:szCs w:val="16"/>
          </w:rPr>
          <w:t>http://www.existential-risk.org/concept.html</w:t>
        </w:r>
      </w:hyperlink>
    </w:p>
  </w:footnote>
  <w:footnote w:id="18">
    <w:p w:rsidR="006D4B48" w:rsidRPr="00B8321C" w:rsidRDefault="006D4B48" w:rsidP="006D4B48">
      <w:pPr>
        <w:ind w:right="-1"/>
        <w:rPr>
          <w:sz w:val="16"/>
          <w:szCs w:val="16"/>
        </w:rPr>
      </w:pPr>
      <w:r w:rsidRPr="00B8321C">
        <w:rPr>
          <w:rStyle w:val="FootnoteReference"/>
          <w:sz w:val="16"/>
          <w:szCs w:val="16"/>
        </w:rPr>
        <w:footnoteRef/>
      </w:r>
      <w:r w:rsidRPr="00B8321C">
        <w:rPr>
          <w:sz w:val="16"/>
          <w:szCs w:val="16"/>
        </w:rPr>
        <w:t xml:space="preserve"> Derek Parfit, Reasons and Persons (Oxford: Clarendon, 1984). P. 453.</w:t>
      </w:r>
    </w:p>
  </w:footnote>
  <w:footnote w:id="19">
    <w:p w:rsidR="006D4B48" w:rsidRPr="00B8321C" w:rsidRDefault="006D4B48" w:rsidP="006D4B48">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“Moral uncertainty – toward a solution?” 1 January 2009. </w:t>
      </w:r>
      <w:hyperlink r:id="rId8" w:history="1">
        <w:r w:rsidRPr="00B8321C">
          <w:rPr>
            <w:rStyle w:val="Hyperlink"/>
            <w:sz w:val="16"/>
            <w:szCs w:val="16"/>
          </w:rPr>
          <w:t>http://www.overcomingbias.com/2009/01/moral-uncertainty-towards-a-solution.html</w:t>
        </w:r>
      </w:hyperlink>
      <w:r w:rsidRPr="00B8321C">
        <w:rPr>
          <w:sz w:val="16"/>
          <w:szCs w:val="16"/>
        </w:rPr>
        <w:t xml:space="preserve"> </w:t>
      </w:r>
    </w:p>
  </w:footnote>
  <w:footnote w:id="20">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Robert A., Central Committee for Conscientious Objectors, The Handbook of Non-Violence, p. 269-70</w:t>
      </w:r>
    </w:p>
  </w:footnote>
  <w:footnote w:id="21">
    <w:p w:rsidR="009108FB" w:rsidRPr="00B8321C" w:rsidRDefault="009108FB" w:rsidP="009108FB">
      <w:pPr>
        <w:rPr>
          <w:sz w:val="16"/>
          <w:szCs w:val="16"/>
        </w:rPr>
      </w:pPr>
      <w:r w:rsidRPr="00B8321C">
        <w:rPr>
          <w:rStyle w:val="FootnoteReference"/>
          <w:sz w:val="16"/>
          <w:szCs w:val="16"/>
        </w:rPr>
        <w:footnoteRef/>
      </w:r>
      <w:r w:rsidRPr="00B8321C">
        <w:rPr>
          <w:sz w:val="16"/>
          <w:szCs w:val="16"/>
        </w:rPr>
        <w:t xml:space="preserve"> Christine M. Korsgaard (Professor of Philosophy at Harvard). Internalism and the Sources of Normativity. Constructions of Practical Reason: Interviews on Moral and Political Philosophy, edited by Herlinde Pauer-Studer (Stanford: Stanford</w:t>
      </w:r>
    </w:p>
    <w:p w:rsidR="009108FB" w:rsidRPr="00B8321C" w:rsidRDefault="009108FB" w:rsidP="009108FB">
      <w:pPr>
        <w:rPr>
          <w:sz w:val="16"/>
          <w:szCs w:val="16"/>
        </w:rPr>
      </w:pPr>
      <w:r w:rsidRPr="00B8321C">
        <w:rPr>
          <w:sz w:val="16"/>
          <w:szCs w:val="16"/>
        </w:rPr>
        <w:t xml:space="preserve">University Press, 2002) </w:t>
      </w:r>
      <w:hyperlink r:id="rId9" w:history="1">
        <w:r w:rsidRPr="00B8321C">
          <w:rPr>
            <w:rStyle w:val="Hyperlink"/>
            <w:sz w:val="16"/>
            <w:szCs w:val="16"/>
          </w:rPr>
          <w:t>http://www.people.fas.harvard.edu/~korsgaar/CPR.CMK.Interview.pdf</w:t>
        </w:r>
      </w:hyperlink>
    </w:p>
  </w:footnote>
  <w:footnote w:id="22">
    <w:p w:rsidR="00261704" w:rsidRPr="005E6530" w:rsidRDefault="00261704" w:rsidP="00261704">
      <w:pPr>
        <w:pStyle w:val="FootnoteText"/>
        <w:rPr>
          <w:sz w:val="16"/>
          <w:szCs w:val="16"/>
        </w:rPr>
      </w:pPr>
      <w:r w:rsidRPr="005E6530">
        <w:rPr>
          <w:rStyle w:val="FootnoteReference"/>
          <w:sz w:val="16"/>
          <w:szCs w:val="16"/>
        </w:rPr>
        <w:footnoteRef/>
      </w:r>
      <w:r w:rsidRPr="005E6530">
        <w:rPr>
          <w:sz w:val="16"/>
          <w:szCs w:val="16"/>
        </w:rPr>
        <w:t xml:space="preserve"> Lincoln, Abraham (First POTUS with a beard, Posthumous National Wrestling Hall of Fame inductee). </w:t>
      </w:r>
      <w:r w:rsidRPr="005E6530">
        <w:rPr>
          <w:i/>
          <w:sz w:val="16"/>
          <w:szCs w:val="16"/>
        </w:rPr>
        <w:t>Letter to A.G. Hodges</w:t>
      </w:r>
      <w:r w:rsidRPr="005E6530">
        <w:rPr>
          <w:sz w:val="16"/>
          <w:szCs w:val="16"/>
        </w:rPr>
        <w:t>. 4 April 1864.</w:t>
      </w:r>
    </w:p>
  </w:footnote>
  <w:footnote w:id="23">
    <w:p w:rsidR="006D4B48" w:rsidRPr="00B8321C" w:rsidRDefault="006D4B48" w:rsidP="006D4B48">
      <w:pPr>
        <w:ind w:right="-1"/>
        <w:rPr>
          <w:sz w:val="16"/>
          <w:szCs w:val="16"/>
        </w:rPr>
      </w:pPr>
      <w:r w:rsidRPr="00B8321C">
        <w:rPr>
          <w:rStyle w:val="FootnoteReference"/>
          <w:sz w:val="16"/>
          <w:szCs w:val="16"/>
        </w:rPr>
        <w:footnoteRef/>
      </w:r>
      <w:r w:rsidRPr="00B8321C">
        <w:rPr>
          <w:sz w:val="16"/>
          <w:szCs w:val="16"/>
        </w:rPr>
        <w:t xml:space="preserve"> Luc Lauwers (Center for Economic Studies, K.U.Leuven) Peter Vallentyne (Department of Philosophy, University of Missouri-Columbia). “Infinite Utilitarianism: More Is Always Better*.” </w:t>
      </w:r>
      <w:r w:rsidRPr="00B8321C">
        <w:rPr>
          <w:i/>
          <w:sz w:val="16"/>
          <w:szCs w:val="16"/>
        </w:rPr>
        <w:t xml:space="preserve">Economics and Philosophy </w:t>
      </w:r>
      <w:r w:rsidRPr="00B8321C">
        <w:rPr>
          <w:sz w:val="16"/>
          <w:szCs w:val="16"/>
        </w:rPr>
        <w:t>20 (2004): 307-330.</w:t>
      </w:r>
    </w:p>
  </w:footnote>
  <w:footnote w:id="24">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See, for example, Bossert and Weymark (forthcoming 2003).</w:t>
      </w:r>
    </w:p>
  </w:footnote>
  <w:footnote w:id="25">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Morality within the Limits of Reason. University Of Chicago Press. pp. 4. ISBN 978-0226316208.</w:t>
      </w:r>
    </w:p>
  </w:footnote>
  <w:footnote w:id="26">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Toni Nielson (Assistant Director of Debate at CSU Fullerton, 4.3 Overall Rating on Ratemyprofessors.com as of 4/7/13). “Prison Reform Topic Paper.” 25 April 2011. </w:t>
      </w:r>
      <w:hyperlink r:id="rId10" w:history="1">
        <w:r w:rsidRPr="00B8321C">
          <w:rPr>
            <w:rStyle w:val="Hyperlink"/>
            <w:sz w:val="16"/>
            <w:szCs w:val="16"/>
          </w:rPr>
          <w:t>http://www.cedadebate.org/forum/index.php?action=dlattach;topic=2381.0;attach=664</w:t>
        </w:r>
      </w:hyperlink>
      <w:r w:rsidRPr="00B8321C">
        <w:rPr>
          <w:sz w:val="16"/>
          <w:szCs w:val="16"/>
        </w:rPr>
        <w:t xml:space="preserve"> </w:t>
      </w:r>
    </w:p>
  </w:footnote>
  <w:footnote w:id="27">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8">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Toni Nielson (Assistant Director of Debate at CSU Fullerton, 4.3 Overall Rating on Ratemyprofessors.com as of 4/7/13). “Prison Reform Topic Paper.” 25 April 2011. </w:t>
      </w:r>
      <w:hyperlink r:id="rId11" w:history="1">
        <w:r w:rsidRPr="00B8321C">
          <w:rPr>
            <w:rStyle w:val="Hyperlink"/>
            <w:sz w:val="16"/>
            <w:szCs w:val="16"/>
          </w:rPr>
          <w:t>http://www.cedadebate.org/forum/index.php?action=dlattach;topic=2381.0;attach=664</w:t>
        </w:r>
      </w:hyperlink>
      <w:r w:rsidRPr="00B8321C">
        <w:rPr>
          <w:sz w:val="16"/>
          <w:szCs w:val="16"/>
        </w:rPr>
        <w:t xml:space="preserve"> </w:t>
      </w:r>
    </w:p>
  </w:footnote>
  <w:footnote w:id="29">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Jamaal Abdul-Alim (Staff writer for Youth Today. If you want to know about Jamaal Abdul-Alim, go to YouTube and search for “Moonbite: Total Eclipse Through The Eyes of a Child," or "Kids Help Dad Build A Model Truck." That's where you'll find Jamaal engaged in the aforementioned activities with his children, Ya Sin, age 9, and Hadiyah,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9108FB" w:rsidRPr="00B8321C" w:rsidRDefault="009108FB" w:rsidP="009108FB">
      <w:pPr>
        <w:ind w:right="-1"/>
        <w:rPr>
          <w:sz w:val="16"/>
          <w:szCs w:val="16"/>
        </w:rPr>
      </w:pPr>
      <w:r w:rsidRPr="00B8321C">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To Go From Prison to College.” 10 December 2012. </w:t>
      </w:r>
      <w:hyperlink r:id="rId12" w:history="1">
        <w:r w:rsidRPr="00B8321C">
          <w:rPr>
            <w:rStyle w:val="Hyperlink1"/>
            <w:sz w:val="16"/>
            <w:szCs w:val="16"/>
          </w:rPr>
          <w:t>http://www.youthtoday.org/view_article.cfm?article_id=5729</w:t>
        </w:r>
      </w:hyperlink>
      <w:r w:rsidRPr="00B8321C">
        <w:rPr>
          <w:sz w:val="16"/>
          <w:szCs w:val="16"/>
        </w:rPr>
        <w:t xml:space="preserve"> </w:t>
      </w:r>
    </w:p>
  </w:footnote>
  <w:footnote w:id="30">
    <w:p w:rsidR="00EE315E" w:rsidRPr="00607EAA" w:rsidRDefault="00EE315E" w:rsidP="00EE315E">
      <w:pPr>
        <w:pStyle w:val="FootnoteText"/>
        <w:rPr>
          <w:sz w:val="16"/>
          <w:szCs w:val="16"/>
        </w:rPr>
      </w:pPr>
      <w:r w:rsidRPr="00607EAA">
        <w:rPr>
          <w:rStyle w:val="FootnoteReference"/>
        </w:rPr>
        <w:footnoteRef/>
      </w:r>
      <w:r w:rsidRPr="00607EAA">
        <w:rPr>
          <w:sz w:val="16"/>
          <w:szCs w:val="16"/>
        </w:rPr>
        <w:t xml:space="preserve"> “Congressional Debates Over Prisoner Education: A Critical Discourse Analysis,” Mark Yates (Department of Educational Policy Studies, GSU). </w:t>
      </w:r>
      <w:r w:rsidRPr="00607EAA">
        <w:rPr>
          <w:i/>
          <w:sz w:val="16"/>
          <w:szCs w:val="16"/>
        </w:rPr>
        <w:t>Educational Policy Studies Dissertations</w:t>
      </w:r>
      <w:r w:rsidRPr="00607EAA">
        <w:rPr>
          <w:sz w:val="16"/>
          <w:szCs w:val="16"/>
        </w:rPr>
        <w:t>. 2009. http://digitalarchive.gsu.edu/cgi/viewcontent.cgi?article=1038&amp;context=eps_diss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614317">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8A39D7" w:rsidP="00EE315E">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TOC </w:t>
              </w:r>
              <w:r w:rsidR="00EE315E">
                <w:rPr>
                  <w:rFonts w:eastAsia="Times New Roman" w:cs="Times New Roman"/>
                  <w:sz w:val="36"/>
                  <w:szCs w:val="36"/>
                </w:rPr>
                <w:t>R5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614317" w:rsidP="00614317">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791EF0" w:rsidRPr="00196578">
                <w:rPr>
                  <w:rFonts w:eastAsia="Times New Roman" w:cs="Times New Roman"/>
                  <w:b/>
                  <w:bCs/>
                  <w:color w:val="4F81BD"/>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2D09"/>
    <w:rsid w:val="000336DA"/>
    <w:rsid w:val="000714F7"/>
    <w:rsid w:val="000857DA"/>
    <w:rsid w:val="00097D51"/>
    <w:rsid w:val="000E1706"/>
    <w:rsid w:val="000E3CE5"/>
    <w:rsid w:val="00172D09"/>
    <w:rsid w:val="00196578"/>
    <w:rsid w:val="001A7AA0"/>
    <w:rsid w:val="00234497"/>
    <w:rsid w:val="00261704"/>
    <w:rsid w:val="002A71E7"/>
    <w:rsid w:val="0038690F"/>
    <w:rsid w:val="00386CDF"/>
    <w:rsid w:val="00395ED2"/>
    <w:rsid w:val="003C79EC"/>
    <w:rsid w:val="003D6B2B"/>
    <w:rsid w:val="003E12A5"/>
    <w:rsid w:val="003F65BA"/>
    <w:rsid w:val="004A74F6"/>
    <w:rsid w:val="004D579E"/>
    <w:rsid w:val="00543487"/>
    <w:rsid w:val="005A4EBE"/>
    <w:rsid w:val="00600DD4"/>
    <w:rsid w:val="00614317"/>
    <w:rsid w:val="00627729"/>
    <w:rsid w:val="006829B6"/>
    <w:rsid w:val="006D4B48"/>
    <w:rsid w:val="00762C54"/>
    <w:rsid w:val="007637C5"/>
    <w:rsid w:val="00791EF0"/>
    <w:rsid w:val="007A6A90"/>
    <w:rsid w:val="007C26AA"/>
    <w:rsid w:val="007C5A63"/>
    <w:rsid w:val="00854DCC"/>
    <w:rsid w:val="0086561F"/>
    <w:rsid w:val="00886562"/>
    <w:rsid w:val="008A39D7"/>
    <w:rsid w:val="008B2FCB"/>
    <w:rsid w:val="008C4FCA"/>
    <w:rsid w:val="009108FB"/>
    <w:rsid w:val="00932EB3"/>
    <w:rsid w:val="00941FDA"/>
    <w:rsid w:val="00986F10"/>
    <w:rsid w:val="009F48E5"/>
    <w:rsid w:val="00A101C3"/>
    <w:rsid w:val="00A31427"/>
    <w:rsid w:val="00A471DC"/>
    <w:rsid w:val="00A55D90"/>
    <w:rsid w:val="00A75542"/>
    <w:rsid w:val="00AA3B0F"/>
    <w:rsid w:val="00AA5A9A"/>
    <w:rsid w:val="00AE3B87"/>
    <w:rsid w:val="00B03256"/>
    <w:rsid w:val="00B226DC"/>
    <w:rsid w:val="00B23263"/>
    <w:rsid w:val="00B8321C"/>
    <w:rsid w:val="00BB0FDC"/>
    <w:rsid w:val="00BD057A"/>
    <w:rsid w:val="00C17AEC"/>
    <w:rsid w:val="00C63C8A"/>
    <w:rsid w:val="00C67B57"/>
    <w:rsid w:val="00C75038"/>
    <w:rsid w:val="00C95B60"/>
    <w:rsid w:val="00CD4C5B"/>
    <w:rsid w:val="00CE4A2D"/>
    <w:rsid w:val="00D10778"/>
    <w:rsid w:val="00D813FF"/>
    <w:rsid w:val="00D87439"/>
    <w:rsid w:val="00DA7450"/>
    <w:rsid w:val="00DE5018"/>
    <w:rsid w:val="00E06EE7"/>
    <w:rsid w:val="00E13167"/>
    <w:rsid w:val="00E57C98"/>
    <w:rsid w:val="00E721E1"/>
    <w:rsid w:val="00EA0404"/>
    <w:rsid w:val="00EB604C"/>
    <w:rsid w:val="00ED59C3"/>
    <w:rsid w:val="00EE315E"/>
    <w:rsid w:val="00F11367"/>
    <w:rsid w:val="00F412DC"/>
    <w:rsid w:val="00F4186B"/>
    <w:rsid w:val="00F6082F"/>
    <w:rsid w:val="00F60BAF"/>
    <w:rsid w:val="00F85E31"/>
    <w:rsid w:val="00FA3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2">
    <w:name w:val="heading 2"/>
    <w:basedOn w:val="Normal"/>
    <w:next w:val="Normal"/>
    <w:link w:val="Heading2Char"/>
    <w:uiPriority w:val="9"/>
    <w:unhideWhenUsed/>
    <w:qFormat/>
    <w:rsid w:val="00EE31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paragraph" w:styleId="DocumentMap">
    <w:name w:val="Document Map"/>
    <w:basedOn w:val="Normal"/>
    <w:link w:val="DocumentMapChar"/>
    <w:uiPriority w:val="99"/>
    <w:semiHidden/>
    <w:unhideWhenUsed/>
    <w:rsid w:val="00EE315E"/>
    <w:rPr>
      <w:rFonts w:ascii="Tahoma" w:hAnsi="Tahoma" w:cs="Tahoma"/>
      <w:sz w:val="16"/>
      <w:szCs w:val="16"/>
    </w:rPr>
  </w:style>
  <w:style w:type="character" w:customStyle="1" w:styleId="DocumentMapChar">
    <w:name w:val="Document Map Char"/>
    <w:basedOn w:val="DefaultParagraphFont"/>
    <w:link w:val="DocumentMap"/>
    <w:uiPriority w:val="99"/>
    <w:semiHidden/>
    <w:rsid w:val="00EE315E"/>
    <w:rPr>
      <w:rFonts w:ascii="Tahoma" w:hAnsi="Tahoma" w:cs="Tahoma"/>
      <w:sz w:val="16"/>
      <w:szCs w:val="16"/>
      <w:lang w:val="en-US"/>
    </w:rPr>
  </w:style>
  <w:style w:type="character" w:customStyle="1" w:styleId="Heading2Char">
    <w:name w:val="Heading 2 Char"/>
    <w:basedOn w:val="DefaultParagraphFont"/>
    <w:link w:val="Heading2"/>
    <w:uiPriority w:val="9"/>
    <w:rsid w:val="00EE315E"/>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overcomingbias.com/2009/01/moral-uncertainty-towards-a-solution.html" TargetMode="External"/><Relationship Id="rId3" Type="http://schemas.openxmlformats.org/officeDocument/2006/relationships/hyperlink" Target="http://www.rand.org/pubs/monograph_reports/MR897/MR897.chap3.pdf" TargetMode="External"/><Relationship Id="rId7" Type="http://schemas.openxmlformats.org/officeDocument/2006/relationships/hyperlink" Target="http://www.existential-risk.org/concept.html" TargetMode="External"/><Relationship Id="rId12" Type="http://schemas.openxmlformats.org/officeDocument/2006/relationships/hyperlink" Target="http://www.youthtoday.org/view_article.cfm?article_id=5729"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sify.com/news/could-unbridled-climate-changes-lead-to-human-extinction-news-international-kgtrOhdaahc.html" TargetMode="External"/><Relationship Id="rId11" Type="http://schemas.openxmlformats.org/officeDocument/2006/relationships/hyperlink" Target="http://www.cedadebate.org/forum/index.php?action=dlattach;topic=2381.0;attach=664" TargetMode="External"/><Relationship Id="rId5" Type="http://schemas.openxmlformats.org/officeDocument/2006/relationships/hyperlink" Target="http://blogs.providencejournal.com/ri-talks/this-new-england/2012/12/david-m-dooleychristina-h-paxson-protect-university-research.html" TargetMode="External"/><Relationship Id="rId10" Type="http://schemas.openxmlformats.org/officeDocument/2006/relationships/hyperlink" Target="http://www.cedadebate.org/forum/index.php?action=dlattach;topic=2381.0;attach=664" TargetMode="External"/><Relationship Id="rId4" Type="http://schemas.openxmlformats.org/officeDocument/2006/relationships/hyperlink" Target="http://www2.uic.edu/orgs/jphas/journal/vol4/issue1/news_rs.shtml" TargetMode="External"/><Relationship Id="rId9" Type="http://schemas.openxmlformats.org/officeDocument/2006/relationships/hyperlink" Target="http://www.people.fas.harvard.edu/~korsgaar/CPR.CMK.Inter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8729A4-3DE6-4EAB-8C12-F12D0918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16116</Words>
  <Characters>91865</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TOC R5 AC</vt:lpstr>
    </vt:vector>
  </TitlesOfParts>
  <Company>Hewlett-Packard</Company>
  <LinksUpToDate>false</LinksUpToDate>
  <CharactersWithSpaces>107766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R5 AC</dc:title>
  <dc:creator>Adam Tomasi</dc:creator>
  <cp:lastModifiedBy>Jacob Nails</cp:lastModifiedBy>
  <cp:revision>3</cp:revision>
  <dcterms:created xsi:type="dcterms:W3CDTF">2013-04-30T21:05:00Z</dcterms:created>
  <dcterms:modified xsi:type="dcterms:W3CDTF">2013-05-01T19:04:00Z</dcterms:modified>
</cp:coreProperties>
</file>